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06D6" w:rsidRDefault="009767C4" w:rsidP="009767C4">
      <w:pPr>
        <w:jc w:val="center"/>
      </w:pPr>
      <w:r>
        <w:rPr>
          <w:noProof/>
          <w:lang w:eastAsia="es-CO"/>
        </w:rPr>
        <w:drawing>
          <wp:inline distT="0" distB="0" distL="0" distR="0" wp14:anchorId="12243972" wp14:editId="12BC79C6">
            <wp:extent cx="6086475" cy="1381125"/>
            <wp:effectExtent l="0" t="0" r="9525" b="9525"/>
            <wp:docPr id="8" name="Imagen 8" descr="Resultado de imagen para logo min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ogo minjusti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381125"/>
                    </a:xfrm>
                    <a:prstGeom prst="rect">
                      <a:avLst/>
                    </a:prstGeom>
                    <a:noFill/>
                    <a:ln>
                      <a:noFill/>
                    </a:ln>
                  </pic:spPr>
                </pic:pic>
              </a:graphicData>
            </a:graphic>
          </wp:inline>
        </w:drawing>
      </w:r>
    </w:p>
    <w:p w:rsidR="00D506D6" w:rsidRPr="00D506D6" w:rsidRDefault="00D506D6" w:rsidP="00D506D6">
      <w:pPr>
        <w:jc w:val="center"/>
        <w:rPr>
          <w:color w:val="000000" w:themeColor="text1"/>
          <w:sz w:val="72"/>
          <w:szCs w:val="72"/>
        </w:rPr>
      </w:pPr>
      <w:r w:rsidRPr="00D506D6">
        <w:rPr>
          <w:color w:val="000000" w:themeColor="text1"/>
          <w:sz w:val="72"/>
          <w:szCs w:val="72"/>
        </w:rPr>
        <w:t>INFORME</w:t>
      </w:r>
    </w:p>
    <w:p w:rsidR="00D506D6" w:rsidRDefault="00D506D6" w:rsidP="009767C4">
      <w:pPr>
        <w:jc w:val="center"/>
        <w:rPr>
          <w:color w:val="000000" w:themeColor="text1"/>
          <w:sz w:val="96"/>
          <w:szCs w:val="96"/>
        </w:rPr>
      </w:pPr>
      <w:r>
        <w:rPr>
          <w:noProof/>
          <w:lang w:eastAsia="es-CO"/>
        </w:rPr>
        <mc:AlternateContent>
          <mc:Choice Requires="wps">
            <w:drawing>
              <wp:inline distT="0" distB="0" distL="0" distR="0" wp14:anchorId="1BB7C7AB" wp14:editId="4A1C817C">
                <wp:extent cx="304800" cy="304800"/>
                <wp:effectExtent l="0" t="0" r="0" b="0"/>
                <wp:docPr id="1" name="AutoShape 1"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33971818" id="AutoShape 1"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w7FgtECAADk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s-CO"/>
        </w:rPr>
        <mc:AlternateContent>
          <mc:Choice Requires="wps">
            <w:drawing>
              <wp:inline distT="0" distB="0" distL="0" distR="0" wp14:anchorId="15E333AD" wp14:editId="1F3E6641">
                <wp:extent cx="304800" cy="304800"/>
                <wp:effectExtent l="0" t="0" r="0" b="0"/>
                <wp:docPr id="3" name="AutoShape 4"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72741901" id="AutoShape 4"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iyhxm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506D6" w:rsidRPr="009767C4" w:rsidRDefault="00D506D6" w:rsidP="009767C4">
      <w:pPr>
        <w:jc w:val="center"/>
        <w:rPr>
          <w:color w:val="000000" w:themeColor="text1"/>
          <w:sz w:val="96"/>
          <w:szCs w:val="96"/>
        </w:rPr>
      </w:pPr>
      <w:r>
        <w:rPr>
          <w:noProof/>
          <w:lang w:eastAsia="es-CO"/>
        </w:rPr>
        <mc:AlternateContent>
          <mc:Choice Requires="wps">
            <w:drawing>
              <wp:inline distT="0" distB="0" distL="0" distR="0">
                <wp:extent cx="304800" cy="304800"/>
                <wp:effectExtent l="0" t="0" r="0" b="0"/>
                <wp:docPr id="2" name="Rectángulo 2"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28D2D7AB" id="Rectángulo 2"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WKJvrbAgAA5g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lang w:eastAsia="es-CO"/>
        </w:rPr>
        <w:drawing>
          <wp:inline distT="0" distB="0" distL="0" distR="0" wp14:anchorId="78895B3A" wp14:editId="03FE0A08">
            <wp:extent cx="5612130" cy="3198914"/>
            <wp:effectExtent l="0" t="0" r="7620" b="1905"/>
            <wp:docPr id="6" name="Imagen 6" descr="Resultado de imagen para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DICAD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98914"/>
                    </a:xfrm>
                    <a:prstGeom prst="rect">
                      <a:avLst/>
                    </a:prstGeom>
                    <a:noFill/>
                    <a:ln>
                      <a:noFill/>
                    </a:ln>
                  </pic:spPr>
                </pic:pic>
              </a:graphicData>
            </a:graphic>
          </wp:inline>
        </w:drawing>
      </w:r>
    </w:p>
    <w:p w:rsidR="00760E86" w:rsidRDefault="00760E86" w:rsidP="00D506D6">
      <w:pPr>
        <w:jc w:val="center"/>
        <w:rPr>
          <w:color w:val="000000" w:themeColor="text1"/>
          <w:sz w:val="72"/>
          <w:szCs w:val="72"/>
        </w:rPr>
      </w:pPr>
    </w:p>
    <w:p w:rsidR="00D506D6" w:rsidRDefault="00D506D6" w:rsidP="00D506D6">
      <w:pPr>
        <w:jc w:val="center"/>
        <w:rPr>
          <w:color w:val="000000" w:themeColor="text1"/>
          <w:sz w:val="72"/>
          <w:szCs w:val="72"/>
        </w:rPr>
      </w:pPr>
      <w:r w:rsidRPr="00D506D6">
        <w:rPr>
          <w:color w:val="000000" w:themeColor="text1"/>
          <w:sz w:val="72"/>
          <w:szCs w:val="72"/>
        </w:rPr>
        <w:t>INDICADORES</w:t>
      </w:r>
      <w:r>
        <w:rPr>
          <w:color w:val="000000" w:themeColor="text1"/>
          <w:sz w:val="72"/>
          <w:szCs w:val="72"/>
        </w:rPr>
        <w:t xml:space="preserve"> </w:t>
      </w:r>
      <w:r w:rsidR="006E5DA7">
        <w:rPr>
          <w:color w:val="000000" w:themeColor="text1"/>
          <w:sz w:val="72"/>
          <w:szCs w:val="72"/>
        </w:rPr>
        <w:t>I</w:t>
      </w:r>
      <w:r w:rsidR="00F7797E">
        <w:rPr>
          <w:color w:val="000000" w:themeColor="text1"/>
          <w:sz w:val="72"/>
          <w:szCs w:val="72"/>
        </w:rPr>
        <w:t>V</w:t>
      </w:r>
      <w:r>
        <w:rPr>
          <w:color w:val="000000" w:themeColor="text1"/>
          <w:sz w:val="72"/>
          <w:szCs w:val="72"/>
        </w:rPr>
        <w:t xml:space="preserve"> </w:t>
      </w:r>
      <w:r w:rsidR="0042321F">
        <w:rPr>
          <w:color w:val="000000" w:themeColor="text1"/>
          <w:sz w:val="72"/>
          <w:szCs w:val="72"/>
        </w:rPr>
        <w:t>TRIMESTRE</w:t>
      </w:r>
    </w:p>
    <w:p w:rsidR="00760E86" w:rsidRDefault="006E5DA7" w:rsidP="00760E86">
      <w:pPr>
        <w:jc w:val="center"/>
        <w:rPr>
          <w:color w:val="000000" w:themeColor="text1"/>
          <w:sz w:val="72"/>
          <w:szCs w:val="72"/>
        </w:rPr>
      </w:pPr>
      <w:r>
        <w:rPr>
          <w:color w:val="000000" w:themeColor="text1"/>
          <w:sz w:val="72"/>
          <w:szCs w:val="72"/>
        </w:rPr>
        <w:t>2019</w:t>
      </w:r>
      <w:r w:rsidR="009767C4">
        <w:rPr>
          <w:color w:val="000000" w:themeColor="text1"/>
          <w:sz w:val="72"/>
          <w:szCs w:val="72"/>
        </w:rPr>
        <w:t>.</w:t>
      </w:r>
    </w:p>
    <w:p w:rsidR="009767C4" w:rsidRPr="00760E86" w:rsidRDefault="009767C4" w:rsidP="00760E86">
      <w:pPr>
        <w:jc w:val="center"/>
        <w:rPr>
          <w:color w:val="000000" w:themeColor="text1"/>
          <w:sz w:val="72"/>
          <w:szCs w:val="72"/>
        </w:rPr>
      </w:pPr>
      <w:r w:rsidRPr="00877B11">
        <w:rPr>
          <w:rFonts w:ascii="Arial" w:hAnsi="Arial" w:cs="Arial"/>
          <w:b/>
          <w:color w:val="000000" w:themeColor="text1"/>
          <w:sz w:val="32"/>
          <w:szCs w:val="32"/>
        </w:rPr>
        <w:lastRenderedPageBreak/>
        <w:t>Introducción.</w:t>
      </w:r>
    </w:p>
    <w:p w:rsidR="009767C4" w:rsidRPr="00877B11" w:rsidRDefault="009767C4" w:rsidP="009767C4">
      <w:pPr>
        <w:jc w:val="both"/>
        <w:rPr>
          <w:rFonts w:ascii="Arial" w:hAnsi="Arial" w:cs="Arial"/>
          <w:color w:val="000000" w:themeColor="text1"/>
        </w:rPr>
      </w:pPr>
      <w:r w:rsidRPr="00877B11">
        <w:rPr>
          <w:rFonts w:ascii="Arial" w:hAnsi="Arial" w:cs="Arial"/>
          <w:color w:val="000000" w:themeColor="text1"/>
        </w:rPr>
        <w:t>En este informe se muestra el estado de los indicadores</w:t>
      </w:r>
      <w:r w:rsidR="00877B11">
        <w:rPr>
          <w:rFonts w:ascii="Arial" w:hAnsi="Arial" w:cs="Arial"/>
          <w:color w:val="000000" w:themeColor="text1"/>
        </w:rPr>
        <w:t xml:space="preserve"> asociados a cada uno de los procesos que hacen parte</w:t>
      </w:r>
      <w:r w:rsidRPr="00877B11">
        <w:rPr>
          <w:rFonts w:ascii="Arial" w:hAnsi="Arial" w:cs="Arial"/>
          <w:color w:val="000000" w:themeColor="text1"/>
        </w:rPr>
        <w:t xml:space="preserve"> del Ministerio </w:t>
      </w:r>
      <w:r w:rsidR="00877B11">
        <w:rPr>
          <w:rFonts w:ascii="Arial" w:hAnsi="Arial" w:cs="Arial"/>
          <w:color w:val="000000" w:themeColor="text1"/>
        </w:rPr>
        <w:t xml:space="preserve">de Justicia y del Derecho (MJD), </w:t>
      </w:r>
      <w:r w:rsidRPr="00877B11">
        <w:rPr>
          <w:rFonts w:ascii="Arial" w:hAnsi="Arial" w:cs="Arial"/>
          <w:color w:val="000000" w:themeColor="text1"/>
        </w:rPr>
        <w:t xml:space="preserve">durante el </w:t>
      </w:r>
      <w:r w:rsidR="0042321F">
        <w:rPr>
          <w:rFonts w:ascii="Arial" w:hAnsi="Arial" w:cs="Arial"/>
          <w:color w:val="000000" w:themeColor="text1"/>
        </w:rPr>
        <w:t xml:space="preserve">tercer trimestre </w:t>
      </w:r>
      <w:r w:rsidR="006E5DA7">
        <w:rPr>
          <w:rFonts w:ascii="Arial" w:hAnsi="Arial" w:cs="Arial"/>
          <w:color w:val="000000" w:themeColor="text1"/>
        </w:rPr>
        <w:t>de 2019</w:t>
      </w:r>
      <w:r w:rsidRPr="00877B11">
        <w:rPr>
          <w:rFonts w:ascii="Arial" w:hAnsi="Arial" w:cs="Arial"/>
          <w:color w:val="000000" w:themeColor="text1"/>
        </w:rPr>
        <w:t>.</w:t>
      </w:r>
    </w:p>
    <w:p w:rsidR="009767C4" w:rsidRPr="00877B11" w:rsidRDefault="00877B11" w:rsidP="009767C4">
      <w:pPr>
        <w:jc w:val="both"/>
        <w:rPr>
          <w:rFonts w:ascii="Arial" w:hAnsi="Arial" w:cs="Arial"/>
          <w:color w:val="000000" w:themeColor="text1"/>
        </w:rPr>
      </w:pPr>
      <w:r>
        <w:rPr>
          <w:rFonts w:ascii="Arial" w:hAnsi="Arial" w:cs="Arial"/>
          <w:color w:val="000000" w:themeColor="text1"/>
        </w:rPr>
        <w:t>El tablero de indicadores</w:t>
      </w:r>
      <w:r w:rsidR="009767C4" w:rsidRPr="00877B11">
        <w:rPr>
          <w:rFonts w:ascii="Arial" w:hAnsi="Arial" w:cs="Arial"/>
          <w:color w:val="000000" w:themeColor="text1"/>
        </w:rPr>
        <w:t xml:space="preserve"> del MJD </w:t>
      </w:r>
      <w:r>
        <w:rPr>
          <w:rFonts w:ascii="Arial" w:hAnsi="Arial" w:cs="Arial"/>
          <w:color w:val="000000" w:themeColor="text1"/>
        </w:rPr>
        <w:t>está constituido por 84 mediciones</w:t>
      </w:r>
      <w:r w:rsidR="009767C4" w:rsidRPr="00877B11">
        <w:rPr>
          <w:rFonts w:ascii="Arial" w:hAnsi="Arial" w:cs="Arial"/>
          <w:color w:val="000000" w:themeColor="text1"/>
        </w:rPr>
        <w:t xml:space="preserve"> reportados para </w:t>
      </w:r>
      <w:r w:rsidR="006E5DA7" w:rsidRPr="006E5DA7">
        <w:rPr>
          <w:rFonts w:ascii="Arial" w:hAnsi="Arial" w:cs="Arial"/>
          <w:color w:val="000000" w:themeColor="text1"/>
        </w:rPr>
        <w:t xml:space="preserve">el </w:t>
      </w:r>
      <w:r w:rsidR="0042321F">
        <w:rPr>
          <w:rFonts w:ascii="Arial" w:hAnsi="Arial" w:cs="Arial"/>
          <w:color w:val="000000" w:themeColor="text1"/>
        </w:rPr>
        <w:t xml:space="preserve">tercer trimestre de 2019 </w:t>
      </w:r>
      <w:r>
        <w:rPr>
          <w:rFonts w:ascii="Arial" w:hAnsi="Arial" w:cs="Arial"/>
          <w:color w:val="000000" w:themeColor="text1"/>
        </w:rPr>
        <w:t xml:space="preserve">por cada uno de los procesos, </w:t>
      </w:r>
      <w:r w:rsidR="009767C4" w:rsidRPr="00877B11">
        <w:rPr>
          <w:rFonts w:ascii="Arial" w:hAnsi="Arial" w:cs="Arial"/>
          <w:color w:val="000000" w:themeColor="text1"/>
        </w:rPr>
        <w:t xml:space="preserve"> dado que </w:t>
      </w:r>
      <w:r>
        <w:rPr>
          <w:rFonts w:ascii="Arial" w:hAnsi="Arial" w:cs="Arial"/>
          <w:color w:val="000000" w:themeColor="text1"/>
        </w:rPr>
        <w:t>la periodicidad es variada</w:t>
      </w:r>
      <w:r w:rsidR="009767C4" w:rsidRPr="00877B11">
        <w:rPr>
          <w:rFonts w:ascii="Arial" w:hAnsi="Arial" w:cs="Arial"/>
          <w:color w:val="000000" w:themeColor="text1"/>
        </w:rPr>
        <w:t xml:space="preserve"> entre trimestral, semestral, </w:t>
      </w:r>
      <w:r>
        <w:rPr>
          <w:rFonts w:ascii="Arial" w:hAnsi="Arial" w:cs="Arial"/>
          <w:color w:val="000000" w:themeColor="text1"/>
        </w:rPr>
        <w:t>y anual, s</w:t>
      </w:r>
      <w:r w:rsidR="009767C4" w:rsidRPr="00877B11">
        <w:rPr>
          <w:rFonts w:ascii="Arial" w:hAnsi="Arial" w:cs="Arial"/>
          <w:color w:val="000000" w:themeColor="text1"/>
        </w:rPr>
        <w:t>on objeto de este informe los que tiene una periodicidad de reporte trimestral</w:t>
      </w:r>
      <w:r w:rsidR="006E5DA7">
        <w:rPr>
          <w:rFonts w:ascii="Arial" w:hAnsi="Arial" w:cs="Arial"/>
          <w:color w:val="000000" w:themeColor="text1"/>
        </w:rPr>
        <w:t xml:space="preserve"> y semestral</w:t>
      </w:r>
      <w:r w:rsidR="009767C4" w:rsidRPr="00877B11">
        <w:rPr>
          <w:rFonts w:ascii="Arial" w:hAnsi="Arial" w:cs="Arial"/>
          <w:color w:val="000000" w:themeColor="text1"/>
        </w:rPr>
        <w:t xml:space="preserve">, los cuales </w:t>
      </w:r>
      <w:r>
        <w:rPr>
          <w:rFonts w:ascii="Arial" w:hAnsi="Arial" w:cs="Arial"/>
          <w:color w:val="000000" w:themeColor="text1"/>
        </w:rPr>
        <w:t>presentan</w:t>
      </w:r>
      <w:r w:rsidR="009767C4" w:rsidRPr="00877B11">
        <w:rPr>
          <w:rFonts w:ascii="Arial" w:hAnsi="Arial" w:cs="Arial"/>
          <w:color w:val="000000" w:themeColor="text1"/>
        </w:rPr>
        <w:t xml:space="preserve"> m</w:t>
      </w:r>
      <w:r>
        <w:rPr>
          <w:rFonts w:ascii="Arial" w:hAnsi="Arial" w:cs="Arial"/>
          <w:color w:val="000000" w:themeColor="text1"/>
        </w:rPr>
        <w:t>edición</w:t>
      </w:r>
      <w:r w:rsidR="009767C4" w:rsidRPr="00877B11">
        <w:rPr>
          <w:rFonts w:ascii="Arial" w:hAnsi="Arial" w:cs="Arial"/>
          <w:color w:val="000000" w:themeColor="text1"/>
        </w:rPr>
        <w:t xml:space="preserve"> y se evalúan.</w:t>
      </w:r>
    </w:p>
    <w:p w:rsidR="009767C4" w:rsidRDefault="00877B11" w:rsidP="009767C4">
      <w:pPr>
        <w:jc w:val="both"/>
        <w:rPr>
          <w:rFonts w:ascii="Arial" w:hAnsi="Arial" w:cs="Arial"/>
          <w:color w:val="000000" w:themeColor="text1"/>
        </w:rPr>
      </w:pPr>
      <w:r>
        <w:rPr>
          <w:rFonts w:ascii="Arial" w:hAnsi="Arial" w:cs="Arial"/>
          <w:color w:val="000000" w:themeColor="text1"/>
        </w:rPr>
        <w:t>Para lo cual s</w:t>
      </w:r>
      <w:r w:rsidR="009767C4" w:rsidRPr="00877B11">
        <w:rPr>
          <w:rFonts w:ascii="Arial" w:hAnsi="Arial" w:cs="Arial"/>
          <w:color w:val="000000" w:themeColor="text1"/>
        </w:rPr>
        <w:t xml:space="preserve">e presentan las tablas </w:t>
      </w:r>
      <w:r>
        <w:rPr>
          <w:rFonts w:ascii="Arial" w:hAnsi="Arial" w:cs="Arial"/>
          <w:color w:val="000000" w:themeColor="text1"/>
        </w:rPr>
        <w:t>en las que</w:t>
      </w:r>
      <w:r w:rsidR="009767C4" w:rsidRPr="00877B11">
        <w:rPr>
          <w:rFonts w:ascii="Arial" w:hAnsi="Arial" w:cs="Arial"/>
          <w:color w:val="000000" w:themeColor="text1"/>
        </w:rPr>
        <w:t xml:space="preserve"> se identifica el número de indicadores de gestión asociados a objetivos de calidad y específicos, a los cuatro procesos de la entidad y a cada una de las dependencias</w:t>
      </w:r>
      <w:r w:rsidR="009767C4" w:rsidRPr="009767C4">
        <w:rPr>
          <w:rFonts w:ascii="Arial" w:hAnsi="Arial" w:cs="Arial"/>
          <w:color w:val="000000" w:themeColor="text1"/>
        </w:rPr>
        <w:t>.</w:t>
      </w:r>
    </w:p>
    <w:p w:rsidR="009767C4" w:rsidRPr="009767C4" w:rsidRDefault="009767C4" w:rsidP="009767C4">
      <w:pPr>
        <w:jc w:val="both"/>
        <w:rPr>
          <w:rFonts w:ascii="Arial" w:hAnsi="Arial" w:cs="Arial"/>
          <w:color w:val="000000" w:themeColor="text1"/>
          <w:u w:val="single"/>
        </w:rPr>
      </w:pPr>
    </w:p>
    <w:p w:rsidR="009767C4" w:rsidRPr="00877B11" w:rsidRDefault="00877B11" w:rsidP="009767C4">
      <w:pPr>
        <w:jc w:val="both"/>
        <w:rPr>
          <w:rFonts w:ascii="Arial" w:hAnsi="Arial" w:cs="Arial"/>
          <w:color w:val="000000" w:themeColor="text1"/>
          <w:u w:val="single"/>
        </w:rPr>
      </w:pPr>
      <w:r>
        <w:rPr>
          <w:rFonts w:ascii="Arial" w:hAnsi="Arial" w:cs="Arial"/>
          <w:color w:val="000000" w:themeColor="text1"/>
          <w:u w:val="single"/>
        </w:rPr>
        <w:t xml:space="preserve">OBJETIVO DE LA EVALUACIÓN. </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Determinar los avances </w:t>
      </w:r>
      <w:r>
        <w:rPr>
          <w:rFonts w:ascii="Arial" w:hAnsi="Arial" w:cs="Arial"/>
          <w:color w:val="000000" w:themeColor="text1"/>
        </w:rPr>
        <w:t>que cada uno de los procesos ha logrado</w:t>
      </w:r>
      <w:r w:rsidRPr="009767C4">
        <w:rPr>
          <w:rFonts w:ascii="Arial" w:hAnsi="Arial" w:cs="Arial"/>
          <w:color w:val="000000" w:themeColor="text1"/>
        </w:rPr>
        <w:t xml:space="preserve"> a través de sus actividades y establecer</w:t>
      </w:r>
      <w:r w:rsidR="00B629F2">
        <w:rPr>
          <w:rFonts w:ascii="Arial" w:hAnsi="Arial" w:cs="Arial"/>
          <w:color w:val="000000" w:themeColor="text1"/>
        </w:rPr>
        <w:t xml:space="preserve"> las </w:t>
      </w:r>
      <w:r w:rsidR="00B629F2" w:rsidRPr="00B629F2">
        <w:rPr>
          <w:rFonts w:ascii="Arial" w:hAnsi="Arial" w:cs="Arial"/>
          <w:color w:val="000000" w:themeColor="text1"/>
        </w:rPr>
        <w:t xml:space="preserve">acciones orientadas a </w:t>
      </w:r>
      <w:r w:rsidR="00B629F2">
        <w:rPr>
          <w:rFonts w:ascii="Arial" w:hAnsi="Arial" w:cs="Arial"/>
          <w:color w:val="000000" w:themeColor="text1"/>
        </w:rPr>
        <w:t>establecer</w:t>
      </w:r>
      <w:r w:rsidRPr="009767C4">
        <w:rPr>
          <w:rFonts w:ascii="Arial" w:hAnsi="Arial" w:cs="Arial"/>
          <w:color w:val="000000" w:themeColor="text1"/>
        </w:rPr>
        <w:t xml:space="preserve"> las causas o impedimentos en el cumplimiento, con el fin de adelantar acciones corre</w:t>
      </w:r>
      <w:r w:rsidR="00B629F2">
        <w:rPr>
          <w:rFonts w:ascii="Arial" w:hAnsi="Arial" w:cs="Arial"/>
          <w:color w:val="000000" w:themeColor="text1"/>
        </w:rPr>
        <w:t xml:space="preserve">ctivas, preventivas y de mejora, con el fin de </w:t>
      </w:r>
      <w:r w:rsidRPr="009767C4">
        <w:rPr>
          <w:rFonts w:ascii="Arial" w:hAnsi="Arial" w:cs="Arial"/>
          <w:color w:val="000000" w:themeColor="text1"/>
        </w:rPr>
        <w:t>alca</w:t>
      </w:r>
      <w:r w:rsidR="00B629F2">
        <w:rPr>
          <w:rFonts w:ascii="Arial" w:hAnsi="Arial" w:cs="Arial"/>
          <w:color w:val="000000" w:themeColor="text1"/>
        </w:rPr>
        <w:t xml:space="preserve">nzar los resultados planificados y tener un conocimiento en tiempo real del comportamiento de los proceso que permitan la toma de </w:t>
      </w:r>
      <w:r w:rsidR="002B3CA5">
        <w:rPr>
          <w:rFonts w:ascii="Arial" w:hAnsi="Arial" w:cs="Arial"/>
          <w:color w:val="000000" w:themeColor="text1"/>
        </w:rPr>
        <w:t>decisiones.</w:t>
      </w:r>
    </w:p>
    <w:p w:rsidR="009767C4" w:rsidRDefault="009767C4" w:rsidP="009767C4">
      <w:pPr>
        <w:jc w:val="both"/>
        <w:rPr>
          <w:rFonts w:ascii="Arial" w:hAnsi="Arial" w:cs="Arial"/>
          <w:color w:val="000000" w:themeColor="text1"/>
        </w:rPr>
      </w:pPr>
      <w:r>
        <w:rPr>
          <w:rFonts w:ascii="Arial" w:hAnsi="Arial" w:cs="Arial"/>
          <w:color w:val="000000" w:themeColor="text1"/>
        </w:rPr>
        <w:t>D</w:t>
      </w:r>
      <w:r w:rsidRPr="009767C4">
        <w:rPr>
          <w:rFonts w:ascii="Arial" w:hAnsi="Arial" w:cs="Arial"/>
          <w:color w:val="000000" w:themeColor="text1"/>
        </w:rPr>
        <w:t>e los cuatro procesos, que maneja la Entidad, es decir Estratégico, Misional, de Apoyo y de Evaluación tendrán un mismo valor ponderado para su aporte al cumplimiento de los objetivos institucionales.</w:t>
      </w:r>
    </w:p>
    <w:p w:rsidR="00877B11" w:rsidRP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METODOLOGÍA.</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El seguimiento a la gestión de la entidad se realiza a través del monitoreo de metas programadas y se mide por medio de los indicadores que se reportan trimestralmente por parte de las dependencias que desarrollan actividades que se adelantan en el Entidad, dicha información permite determinar el porcentaje de avance o cumplimiento, el resultado acumulado correspondiente y el total de la ejecución a la vigencia, con respecto de la programación establecida por los ejecutores o responsables de cada indicador. Los intervalos de calificación de cumplimiento establecidos, según su ejecución son los siguientes: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596FF6A1" wp14:editId="3755563B">
                <wp:simplePos x="0" y="0"/>
                <wp:positionH relativeFrom="column">
                  <wp:posOffset>2724150</wp:posOffset>
                </wp:positionH>
                <wp:positionV relativeFrom="paragraph">
                  <wp:posOffset>274955</wp:posOffset>
                </wp:positionV>
                <wp:extent cx="1485900" cy="1905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58637C85" id="Rectángulo 5" o:spid="_x0000_s1026" style="position:absolute;margin-left:214.5pt;margin-top:21.65pt;width:117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" fillcolor="yellow" strokecolor="#41719c" strokeweight="1p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59264" behindDoc="0" locked="0" layoutInCell="1" allowOverlap="1">
                <wp:simplePos x="0" y="0"/>
                <wp:positionH relativeFrom="column">
                  <wp:posOffset>2733675</wp:posOffset>
                </wp:positionH>
                <wp:positionV relativeFrom="paragraph">
                  <wp:posOffset>11430</wp:posOffset>
                </wp:positionV>
                <wp:extent cx="1485900" cy="190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50B7004" id="Rectángulo 4" o:spid="_x0000_s1026" style="position:absolute;margin-left:215.25pt;margin-top:.9pt;width:117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" fillcolor="red" strokecolor="#1f4d78 [1604]" strokeweight="1pt"/>
            </w:pict>
          </mc:Fallback>
        </mc:AlternateContent>
      </w:r>
      <w:r w:rsidR="009767C4" w:rsidRPr="009767C4">
        <w:rPr>
          <w:rFonts w:ascii="Arial" w:hAnsi="Arial" w:cs="Arial"/>
          <w:color w:val="000000" w:themeColor="text1"/>
        </w:rPr>
        <w:t xml:space="preserve">Porcentaje de 0% al 74.9%: </w:t>
      </w:r>
    </w:p>
    <w:p w:rsidR="009767C4" w:rsidRPr="009767C4" w:rsidRDefault="009767C4" w:rsidP="00877B11">
      <w:pPr>
        <w:rPr>
          <w:rFonts w:ascii="Arial" w:hAnsi="Arial" w:cs="Arial"/>
          <w:color w:val="000000" w:themeColor="text1"/>
        </w:rPr>
      </w:pPr>
      <w:r w:rsidRPr="009767C4">
        <w:rPr>
          <w:rFonts w:ascii="Arial" w:hAnsi="Arial" w:cs="Arial"/>
          <w:color w:val="000000" w:themeColor="text1"/>
        </w:rPr>
        <w:t xml:space="preserve">Porcentaje de 75% al 94.9%: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3360" behindDoc="0" locked="0" layoutInCell="1" allowOverlap="1" wp14:anchorId="03519D52" wp14:editId="6D0CFFD2">
                <wp:simplePos x="0" y="0"/>
                <wp:positionH relativeFrom="column">
                  <wp:posOffset>2724150</wp:posOffset>
                </wp:positionH>
                <wp:positionV relativeFrom="paragraph">
                  <wp:posOffset>9525</wp:posOffset>
                </wp:positionV>
                <wp:extent cx="1485900" cy="1905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23D8B81" id="Rectángulo 7" o:spid="_x0000_s1026" style="position:absolute;margin-left:214.5pt;margin-top:.75pt;width:117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" fillcolor="#00b050" strokecolor="#41719c" strokeweight="1pt"/>
            </w:pict>
          </mc:Fallback>
        </mc:AlternateContent>
      </w:r>
      <w:r w:rsidR="009767C4" w:rsidRPr="009767C4">
        <w:rPr>
          <w:rFonts w:ascii="Arial" w:hAnsi="Arial" w:cs="Arial"/>
          <w:color w:val="000000" w:themeColor="text1"/>
        </w:rPr>
        <w:t xml:space="preserve">Porcentaje de 95% al 100%: </w:t>
      </w:r>
    </w:p>
    <w:p w:rsid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FUENTE DE INFORMACIÓN DE DATOS.</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La información base para el análisis, se obtuvo de los reportes realizados por cada una de las áreas encargadas, en las hojas de vida y seguimiento de los indicadores de gestión de la entid</w:t>
      </w:r>
      <w:r w:rsidR="00B629F2">
        <w:rPr>
          <w:rFonts w:ascii="Arial" w:hAnsi="Arial" w:cs="Arial"/>
          <w:color w:val="000000" w:themeColor="text1"/>
        </w:rPr>
        <w:t>ad, analizando los indicadores desde tres (3) ópticas: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lastRenderedPageBreak/>
        <w:t>Estratégico: La visión estratégica trata de los indicadores tomados desde el punto de vista de los objetivos calidad/estratégicos y la forma con la cual los indicadores aportan al cumplimiento de cada uno de ellos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Táctico: La perspectiva de lo táctico muestra los indicadores organizados en cada uno de los procesos llevados al interior del ministerio de justicia y del derecho como: misionales, estratégicos, de apoyo y de evaluación</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Operativo</w:t>
      </w:r>
      <w:r w:rsidR="00B629F2" w:rsidRPr="00B629F2">
        <w:rPr>
          <w:rFonts w:ascii="Arial" w:eastAsia="Times New Roman" w:hAnsi="Arial" w:cs="Arial"/>
          <w:color w:val="000000"/>
          <w:kern w:val="28"/>
          <w:lang w:eastAsia="es-CO"/>
          <w14:cntxtAlts/>
        </w:rPr>
        <w:t>: Para una visión completa del funcionamiento de cada una de las áreas del Ministerio de Justicia y del Derecho se visualiza desde el cumplimiento por indicadores de cada una de las dependencias teniendo en cuenta el Objetivo, Proceso al que aporta desde las actividades desarrolladas por la dependencia como tal.</w:t>
      </w: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Pr>
          <w:rFonts w:ascii="Arial" w:eastAsia="Times New Roman" w:hAnsi="Arial" w:cs="Arial"/>
          <w:color w:val="000000"/>
          <w:kern w:val="28"/>
          <w:lang w:eastAsia="es-CO"/>
          <w14:cntxtAlts/>
        </w:rPr>
        <w:t>Esto</w:t>
      </w:r>
      <w:r w:rsidR="00B2790D" w:rsidRPr="00B2790D">
        <w:rPr>
          <w:rFonts w:ascii="Arial" w:eastAsia="Times New Roman" w:hAnsi="Arial" w:cs="Arial"/>
          <w:color w:val="000000"/>
          <w:kern w:val="28"/>
          <w:lang w:eastAsia="es-CO"/>
          <w14:cntxtAlts/>
        </w:rPr>
        <w:t xml:space="preserve"> permit</w:t>
      </w:r>
      <w:r>
        <w:rPr>
          <w:rFonts w:ascii="Arial" w:eastAsia="Times New Roman" w:hAnsi="Arial" w:cs="Arial"/>
          <w:color w:val="000000"/>
          <w:kern w:val="28"/>
          <w:lang w:eastAsia="es-CO"/>
          <w14:cntxtAlts/>
        </w:rPr>
        <w:t>e</w:t>
      </w:r>
      <w:r w:rsidR="00B2790D" w:rsidRPr="00B2790D">
        <w:rPr>
          <w:rFonts w:ascii="Arial" w:eastAsia="Times New Roman" w:hAnsi="Arial" w:cs="Arial"/>
          <w:color w:val="000000"/>
          <w:kern w:val="28"/>
          <w:lang w:eastAsia="es-CO"/>
          <w14:cntxtAlts/>
        </w:rPr>
        <w:t xml:space="preserve"> dirigir esfuerzos para la toma de decisiones de un punto de vista desde e</w:t>
      </w:r>
      <w:r w:rsidR="002B3CA5">
        <w:rPr>
          <w:rFonts w:ascii="Arial" w:eastAsia="Times New Roman" w:hAnsi="Arial" w:cs="Arial"/>
          <w:color w:val="000000"/>
          <w:kern w:val="28"/>
          <w:lang w:eastAsia="es-CO"/>
          <w14:cntxtAlts/>
        </w:rPr>
        <w:t>l más resumido al más detallado aportando</w:t>
      </w:r>
      <w:r w:rsidRPr="00B629F2">
        <w:rPr>
          <w:rFonts w:ascii="Arial" w:eastAsia="Times New Roman" w:hAnsi="Arial" w:cs="Arial"/>
          <w:color w:val="000000"/>
          <w:kern w:val="28"/>
          <w:lang w:eastAsia="es-CO"/>
          <w14:cntxtAlts/>
        </w:rPr>
        <w:t xml:space="preserve"> a la entidad un camino correcto para que ésta logre cumplir con las metas establecidas logrando satisfacer los siguientes objetivos:</w:t>
      </w:r>
    </w:p>
    <w:p w:rsidR="00760E86" w:rsidRPr="00B629F2"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 estrategia.</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las metas.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 Identificar problemas y oportunidades.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•Diagnosticar problemas.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•Entender procesos.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•Definir responsabilidades.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•Mejorar el control de la entidad.</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•Identificar iniciativas y acciones necesarias.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•Medir comportamientos.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•Facilitar la delegación en las personas. </w:t>
      </w:r>
    </w:p>
    <w:p w:rsid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•Integrar la compensación con la actuación.</w:t>
      </w:r>
    </w:p>
    <w:p w:rsidR="00760E86" w:rsidRPr="00B629F2" w:rsidRDefault="00760E86" w:rsidP="002B3CA5">
      <w:pPr>
        <w:widowControl w:val="0"/>
        <w:spacing w:after="120" w:line="285" w:lineRule="auto"/>
        <w:ind w:left="708"/>
        <w:jc w:val="both"/>
        <w:rPr>
          <w:rFonts w:ascii="Arial" w:eastAsia="Times New Roman" w:hAnsi="Arial" w:cs="Arial"/>
          <w:color w:val="000000"/>
          <w:kern w:val="28"/>
          <w:lang w:eastAsia="es-CO"/>
          <w14:cntxtAlts/>
        </w:rPr>
      </w:pPr>
    </w:p>
    <w:p w:rsidR="00B629F2" w:rsidRP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La razón de ser de un sistema de medición es entonces: Comunicar, entender, Orientar y Compensar la ejecución de las estrategias, acciones y resultados de la entidad.</w:t>
      </w: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Los procesos que comúnmente integran un sistema de medición son: Planificación, Presupuesto (asignación de recursos),</w:t>
      </w:r>
      <w:r w:rsidRPr="00B629F2">
        <w:rPr>
          <w:rFonts w:ascii="Arial" w:hAnsi="Arial" w:cs="Arial"/>
        </w:rPr>
        <w:t xml:space="preserve"> informa</w:t>
      </w:r>
      <w:r w:rsidRPr="00B629F2">
        <w:rPr>
          <w:rFonts w:ascii="Arial" w:eastAsia="Times New Roman" w:hAnsi="Arial" w:cs="Arial"/>
          <w:color w:val="000000"/>
          <w:kern w:val="28"/>
          <w:lang w:eastAsia="es-CO"/>
          <w14:cntxtAlts/>
        </w:rPr>
        <w:t>ción, Seguimiento (control), y Evaluación.</w:t>
      </w: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2B3CA5">
      <w:pPr>
        <w:jc w:val="center"/>
        <w:rPr>
          <w:rFonts w:ascii="Arial" w:hAnsi="Arial" w:cs="Arial"/>
          <w:b/>
          <w:color w:val="000000" w:themeColor="text1"/>
          <w:sz w:val="32"/>
          <w:szCs w:val="32"/>
        </w:rPr>
      </w:pPr>
      <w:r w:rsidRPr="002B3CA5">
        <w:rPr>
          <w:rFonts w:ascii="Arial" w:hAnsi="Arial" w:cs="Arial"/>
          <w:b/>
          <w:color w:val="000000" w:themeColor="text1"/>
          <w:sz w:val="32"/>
          <w:szCs w:val="32"/>
        </w:rPr>
        <w:lastRenderedPageBreak/>
        <w:t>Objetivos Estratégicos y de Calidad</w:t>
      </w:r>
      <w:r>
        <w:rPr>
          <w:rFonts w:ascii="Arial" w:hAnsi="Arial" w:cs="Arial"/>
          <w:b/>
          <w:color w:val="000000" w:themeColor="text1"/>
          <w:sz w:val="32"/>
          <w:szCs w:val="32"/>
        </w:rPr>
        <w:t>.</w:t>
      </w:r>
    </w:p>
    <w:p w:rsidR="002B3CA5" w:rsidRDefault="002B3CA5" w:rsidP="002B3CA5">
      <w:pPr>
        <w:jc w:val="both"/>
        <w:rPr>
          <w:rFonts w:ascii="Arial" w:hAnsi="Arial" w:cs="Arial"/>
          <w:color w:val="000000" w:themeColor="text1"/>
        </w:rPr>
      </w:pPr>
      <w:r w:rsidRPr="002B3CA5">
        <w:rPr>
          <w:rFonts w:ascii="Arial" w:hAnsi="Arial" w:cs="Arial"/>
          <w:color w:val="000000" w:themeColor="text1"/>
        </w:rPr>
        <w:t>En una visión estratégica se pretende ver los indicadores de una manera global agrupando cada indicador en un objetivo, permitiendo ver así el cumplimiento de los objetivos con el aporte de estos mismos.</w:t>
      </w:r>
    </w:p>
    <w:p w:rsidR="002B3CA5" w:rsidRDefault="002B3CA5" w:rsidP="002B3CA5">
      <w:pPr>
        <w:jc w:val="both"/>
        <w:rPr>
          <w:rFonts w:ascii="Arial" w:hAnsi="Arial" w:cs="Arial"/>
          <w:color w:val="000000" w:themeColor="text1"/>
        </w:rPr>
      </w:pPr>
      <w:r>
        <w:rPr>
          <w:rFonts w:ascii="Times New Roman" w:hAnsi="Times New Roman"/>
          <w:noProof/>
          <w:sz w:val="24"/>
          <w:szCs w:val="24"/>
          <w:lang w:eastAsia="es-CO"/>
        </w:rPr>
        <w:drawing>
          <wp:anchor distT="0" distB="0" distL="114300" distR="114300" simplePos="0" relativeHeight="251665408" behindDoc="0" locked="0" layoutInCell="1" allowOverlap="1" wp14:anchorId="19AAEBF0" wp14:editId="22DDC958">
            <wp:simplePos x="0" y="0"/>
            <wp:positionH relativeFrom="column">
              <wp:posOffset>123825</wp:posOffset>
            </wp:positionH>
            <wp:positionV relativeFrom="page">
              <wp:posOffset>1971675</wp:posOffset>
            </wp:positionV>
            <wp:extent cx="2021840" cy="902970"/>
            <wp:effectExtent l="0" t="0" r="0" b="0"/>
            <wp:wrapNone/>
            <wp:docPr id="10" name="Imagen 10" descr="OBSRRHH-Visi%C3%B3n-estrat%C3%A9gica-EdM-oc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RRHH-Visi%C3%B3n-estrat%C3%A9gica-EdM-oct-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84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F46B7D"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10795</wp:posOffset>
                </wp:positionV>
                <wp:extent cx="5256000" cy="720000"/>
                <wp:effectExtent l="0" t="0" r="20955" b="23495"/>
                <wp:wrapNone/>
                <wp:docPr id="17" name="Rectángulo redondeado 1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92D050"/>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26" style="position:absolute;left:0;text-align:left;margin-left:64.5pt;margin-top:.85pt;width:413.85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" fillcolor="#92d050" strokecolor="#1f4d78 [1604]" strokeweight="1pt">
                <v:stroke dashstyle="3 1" joinstyle="miter"/>
                <v:textbo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v:textbox>
              </v:roundrec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219710</wp:posOffset>
                </wp:positionV>
                <wp:extent cx="381000" cy="447675"/>
                <wp:effectExtent l="19050" t="19050" r="19050" b="28575"/>
                <wp:wrapNone/>
                <wp:docPr id="16" name="Lágrima 16"/>
                <wp:cNvGraphicFramePr/>
                <a:graphic xmlns:a="http://schemas.openxmlformats.org/drawingml/2006/main">
                  <a:graphicData uri="http://schemas.microsoft.com/office/word/2010/wordprocessingShape">
                    <wps:wsp>
                      <wps:cNvSpPr/>
                      <wps:spPr>
                        <a:xfrm>
                          <a:off x="0" y="0"/>
                          <a:ext cx="381000" cy="447675"/>
                        </a:xfrm>
                        <a:prstGeom prst="teardrop">
                          <a:avLst/>
                        </a:prstGeom>
                        <a:ln w="28575"/>
                      </wps:spPr>
                      <wps:style>
                        <a:lnRef idx="2">
                          <a:schemeClr val="accent6"/>
                        </a:lnRef>
                        <a:fillRef idx="1">
                          <a:schemeClr val="lt1"/>
                        </a:fillRef>
                        <a:effectRef idx="0">
                          <a:schemeClr val="accent6"/>
                        </a:effectRef>
                        <a:fontRef idx="minor">
                          <a:schemeClr val="dk1"/>
                        </a:fontRef>
                      </wps:style>
                      <wps:txbx>
                        <w:txbxContent>
                          <w:p w:rsidR="0058407F" w:rsidRPr="006C776C" w:rsidRDefault="0058407F"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ágrima 16" o:spid="_x0000_s1027" style="position:absolute;left:0;text-align:left;margin-left:23.25pt;margin-top:17.3pt;width:3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" adj="-11796480,,5400" path="m,223838c,100216,85290,,190500,l381000,r,223838c381000,347460,295710,447676,190500,447676,85290,447676,,347460,,223838xe" fillcolor="white [3201]" strokecolor="#70ad47 [3209]"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v:shape>
            </w:pict>
          </mc:Fallback>
        </mc:AlternateContent>
      </w:r>
    </w:p>
    <w:p w:rsidR="00447025" w:rsidRDefault="00447025" w:rsidP="002B3CA5">
      <w:pPr>
        <w:jc w:val="both"/>
        <w:rPr>
          <w:rFonts w:ascii="Arial" w:hAnsi="Arial" w:cs="Arial"/>
          <w:color w:val="000000" w:themeColor="text1"/>
        </w:rPr>
      </w:pPr>
    </w:p>
    <w:p w:rsidR="00447025" w:rsidRDefault="00447025" w:rsidP="002B3CA5">
      <w:pPr>
        <w:jc w:val="both"/>
        <w:rPr>
          <w:rFonts w:ascii="Arial" w:hAnsi="Arial" w:cs="Arial"/>
          <w:color w:val="000000" w:themeColor="text1"/>
        </w:rPr>
      </w:pPr>
    </w:p>
    <w:p w:rsidR="00447025"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1552" behindDoc="0" locked="0" layoutInCell="1" allowOverlap="1" wp14:anchorId="48C33934" wp14:editId="04766C17">
                <wp:simplePos x="0" y="0"/>
                <wp:positionH relativeFrom="column">
                  <wp:posOffset>819150</wp:posOffset>
                </wp:positionH>
                <wp:positionV relativeFrom="paragraph">
                  <wp:posOffset>109855</wp:posOffset>
                </wp:positionV>
                <wp:extent cx="5256000" cy="756000"/>
                <wp:effectExtent l="0" t="0" r="20955" b="25400"/>
                <wp:wrapNone/>
                <wp:docPr id="19" name="Rectángulo redondeado 19"/>
                <wp:cNvGraphicFramePr/>
                <a:graphic xmlns:a="http://schemas.openxmlformats.org/drawingml/2006/main">
                  <a:graphicData uri="http://schemas.microsoft.com/office/word/2010/wordprocessingShape">
                    <wps:wsp>
                      <wps:cNvSpPr/>
                      <wps:spPr>
                        <a:xfrm>
                          <a:off x="0" y="0"/>
                          <a:ext cx="5256000" cy="756000"/>
                        </a:xfrm>
                        <a:prstGeom prst="roundRect">
                          <a:avLst/>
                        </a:prstGeom>
                        <a:solidFill>
                          <a:srgbClr val="FF3300"/>
                        </a:solidFill>
                        <a:ln w="12700" cap="flat" cmpd="sng" algn="ctr">
                          <a:solidFill>
                            <a:srgbClr val="5B9BD5">
                              <a:shade val="50000"/>
                            </a:srgbClr>
                          </a:solidFill>
                          <a:prstDash val="sysDash"/>
                          <a:miter lim="800000"/>
                        </a:ln>
                        <a:effectLst/>
                      </wps:spPr>
                      <wps:txb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33934" id="Rectángulo redondeado 19" o:spid="_x0000_s1028" style="position:absolute;left:0;text-align:left;margin-left:64.5pt;margin-top:8.65pt;width:413.85pt;height:5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" fillcolor="#f30" strokecolor="#41719c" strokeweight="1pt">
                <v:stroke dashstyle="3 1" joinstyle="miter"/>
                <v:textbo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v:textbox>
              </v:roundrect>
            </w:pict>
          </mc:Fallback>
        </mc:AlternateContent>
      </w: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9504" behindDoc="0" locked="0" layoutInCell="1" allowOverlap="1" wp14:anchorId="6E7ACC06" wp14:editId="77F1F916">
                <wp:simplePos x="0" y="0"/>
                <wp:positionH relativeFrom="margin">
                  <wp:posOffset>266700</wp:posOffset>
                </wp:positionH>
                <wp:positionV relativeFrom="paragraph">
                  <wp:posOffset>21590</wp:posOffset>
                </wp:positionV>
                <wp:extent cx="381000" cy="447675"/>
                <wp:effectExtent l="19050" t="19050" r="19050" b="28575"/>
                <wp:wrapNone/>
                <wp:docPr id="18" name="Lágrima 18"/>
                <wp:cNvGraphicFramePr/>
                <a:graphic xmlns:a="http://schemas.openxmlformats.org/drawingml/2006/main">
                  <a:graphicData uri="http://schemas.microsoft.com/office/word/2010/wordprocessingShape">
                    <wps:wsp>
                      <wps:cNvSpPr/>
                      <wps:spPr>
                        <a:xfrm>
                          <a:off x="0" y="0"/>
                          <a:ext cx="381000" cy="447675"/>
                        </a:xfrm>
                        <a:prstGeom prst="teardrop">
                          <a:avLst/>
                        </a:prstGeom>
                        <a:ln w="285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58407F" w:rsidRPr="006C776C" w:rsidRDefault="0058407F"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CC06" id="Lágrima 18" o:spid="_x0000_s1029" style="position:absolute;left:0;text-align:left;margin-left:21pt;margin-top:1.7pt;width:30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" adj="-11796480,,5400" path="m,223838c,100216,85290,,190500,l381000,r,223838c381000,347460,295710,447676,190500,447676,85290,447676,,347460,,223838xe" fillcolor="white [3201]" strokecolor="red"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w10:wrap anchorx="margin"/>
              </v:shape>
            </w:pict>
          </mc:Fallback>
        </mc:AlternateContent>
      </w:r>
    </w:p>
    <w:p w:rsidR="00F46B7D" w:rsidRDefault="00F46B7D" w:rsidP="002B3CA5">
      <w:pPr>
        <w:jc w:val="both"/>
        <w:rPr>
          <w:rFonts w:ascii="Arial" w:hAnsi="Arial" w:cs="Arial"/>
          <w:color w:val="000000" w:themeColor="text1"/>
        </w:rPr>
      </w:pP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5648" behindDoc="0" locked="0" layoutInCell="1" allowOverlap="1" wp14:anchorId="0B8BF649" wp14:editId="137409F1">
                <wp:simplePos x="0" y="0"/>
                <wp:positionH relativeFrom="column">
                  <wp:posOffset>847725</wp:posOffset>
                </wp:positionH>
                <wp:positionV relativeFrom="paragraph">
                  <wp:posOffset>179705</wp:posOffset>
                </wp:positionV>
                <wp:extent cx="5256000" cy="720000"/>
                <wp:effectExtent l="0" t="0" r="20955" b="23495"/>
                <wp:wrapNone/>
                <wp:docPr id="21" name="Rectángulo redondeado 21"/>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FF9933"/>
                        </a:solidFill>
                        <a:ln w="12700" cap="flat" cmpd="sng" algn="ctr">
                          <a:solidFill>
                            <a:srgbClr val="5B9BD5">
                              <a:shade val="50000"/>
                            </a:srgbClr>
                          </a:solidFill>
                          <a:prstDash val="sysDash"/>
                          <a:miter lim="800000"/>
                        </a:ln>
                        <a:effectLst/>
                      </wps:spPr>
                      <wps:txbx>
                        <w:txbxContent>
                          <w:p w:rsidR="0058407F" w:rsidRPr="00601326" w:rsidRDefault="0058407F"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BF649" id="Rectángulo redondeado 21" o:spid="_x0000_s1030" style="position:absolute;left:0;text-align:left;margin-left:66.75pt;margin-top:14.15pt;width:413.85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" fillcolor="#f93" strokecolor="#41719c" strokeweight="1pt">
                <v:stroke dashstyle="3 1" joinstyle="miter"/>
                <v:textbox>
                  <w:txbxContent>
                    <w:p w:rsidR="0058407F" w:rsidRPr="00601326" w:rsidRDefault="0058407F"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v:textbox>
              </v:roundrect>
            </w:pict>
          </mc:Fallback>
        </mc:AlternateContent>
      </w:r>
    </w:p>
    <w:p w:rsidR="00F46B7D" w:rsidRPr="00B2790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3600" behindDoc="0" locked="0" layoutInCell="1" allowOverlap="1" wp14:anchorId="467C7140" wp14:editId="2F1188A8">
                <wp:simplePos x="0" y="0"/>
                <wp:positionH relativeFrom="margin">
                  <wp:posOffset>266700</wp:posOffset>
                </wp:positionH>
                <wp:positionV relativeFrom="paragraph">
                  <wp:posOffset>28575</wp:posOffset>
                </wp:positionV>
                <wp:extent cx="381000" cy="447675"/>
                <wp:effectExtent l="19050" t="19050" r="19050" b="28575"/>
                <wp:wrapNone/>
                <wp:docPr id="20" name="Lágrima 20"/>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F9933"/>
                          </a:solidFill>
                          <a:prstDash val="solid"/>
                          <a:miter lim="800000"/>
                        </a:ln>
                        <a:effectLst/>
                      </wps:spPr>
                      <wps:txbx>
                        <w:txbxContent>
                          <w:p w:rsidR="0058407F" w:rsidRPr="006C776C" w:rsidRDefault="0058407F"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7140" id="Lágrima 20" o:spid="_x0000_s1031" style="position:absolute;left:0;text-align:left;margin-left:21pt;margin-top:2.25pt;width:30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" adj="-11796480,,5400" path="m,223838c,100216,85290,,190500,l381000,r,223838c381000,347460,295710,447676,190500,447676,85290,447676,,347460,,223838xe" fillcolor="window" strokecolor="#f93"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v:textbox>
                <w10:wrap anchorx="margin"/>
              </v:shape>
            </w:pict>
          </mc:Fallback>
        </mc:AlternateContent>
      </w:r>
    </w:p>
    <w:p w:rsidR="00B2790D" w:rsidRDefault="00B2790D" w:rsidP="00B2790D">
      <w:pPr>
        <w:widowControl w:val="0"/>
        <w:spacing w:after="120" w:line="285" w:lineRule="auto"/>
        <w:rPr>
          <w:rFonts w:ascii="Arial" w:eastAsia="Times New Roman" w:hAnsi="Arial" w:cs="Arial"/>
          <w:noProof/>
          <w:color w:val="000000"/>
          <w:kern w:val="28"/>
          <w:lang w:eastAsia="es-CO"/>
          <w14:cntxtAlts/>
        </w:rPr>
      </w:pPr>
      <w:r w:rsidRPr="00B2790D">
        <w:rPr>
          <w:rFonts w:ascii="Arial" w:eastAsia="Times New Roman" w:hAnsi="Arial" w:cs="Arial"/>
          <w:color w:val="000000"/>
          <w:kern w:val="28"/>
          <w:lang w:eastAsia="es-CO"/>
          <w14:cntxtAlts/>
        </w:rPr>
        <w:t> </w: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77696" behindDoc="0" locked="0" layoutInCell="1" allowOverlap="1" wp14:anchorId="5F6A37FE" wp14:editId="08F2EBA3">
                <wp:simplePos x="0" y="0"/>
                <wp:positionH relativeFrom="margin">
                  <wp:posOffset>285750</wp:posOffset>
                </wp:positionH>
                <wp:positionV relativeFrom="paragraph">
                  <wp:posOffset>143510</wp:posOffset>
                </wp:positionV>
                <wp:extent cx="381000" cy="447675"/>
                <wp:effectExtent l="19050" t="19050" r="19050" b="28575"/>
                <wp:wrapNone/>
                <wp:docPr id="22" name="Lágrima 22"/>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00B0F0"/>
                          </a:solidFill>
                          <a:prstDash val="solid"/>
                          <a:miter lim="800000"/>
                        </a:ln>
                        <a:effectLst/>
                      </wps:spPr>
                      <wps:txbx>
                        <w:txbxContent>
                          <w:p w:rsidR="0058407F" w:rsidRPr="006C776C" w:rsidRDefault="0058407F"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37FE" id="Lágrima 22" o:spid="_x0000_s1032" style="position:absolute;margin-left:22.5pt;margin-top:11.3pt;width:30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" adj="-11796480,,5400" path="m,223838c,100216,85290,,190500,l381000,r,223838c381000,347460,295710,447676,190500,447676,85290,447676,,347460,,223838xe" fillcolor="window" strokecolor="#00b0f0"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79744" behindDoc="0" locked="0" layoutInCell="1" allowOverlap="1" wp14:anchorId="5DD14584" wp14:editId="4064B018">
                <wp:simplePos x="0" y="0"/>
                <wp:positionH relativeFrom="column">
                  <wp:posOffset>866775</wp:posOffset>
                </wp:positionH>
                <wp:positionV relativeFrom="paragraph">
                  <wp:posOffset>19685</wp:posOffset>
                </wp:positionV>
                <wp:extent cx="5256000" cy="720000"/>
                <wp:effectExtent l="0" t="0" r="20955" b="23495"/>
                <wp:wrapNone/>
                <wp:docPr id="23" name="Rectángulo redondeado 23"/>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00B0F0"/>
                        </a:solidFill>
                        <a:ln w="12700" cap="flat" cmpd="sng" algn="ctr">
                          <a:solidFill>
                            <a:srgbClr val="5B9BD5">
                              <a:shade val="50000"/>
                            </a:srgbClr>
                          </a:solidFill>
                          <a:prstDash val="sysDash"/>
                          <a:miter lim="800000"/>
                        </a:ln>
                        <a:effectLst/>
                      </wps:spPr>
                      <wps:txbx>
                        <w:txbxContent>
                          <w:p w:rsidR="0058407F" w:rsidRPr="00CA4DA7" w:rsidRDefault="0058407F"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14584" id="Rectángulo redondeado 23" o:spid="_x0000_s1033" style="position:absolute;margin-left:68.25pt;margin-top:1.55pt;width:413.8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" fillcolor="#00b0f0" strokecolor="#41719c" strokeweight="1pt">
                <v:stroke dashstyle="3 1" joinstyle="miter"/>
                <v:textbox>
                  <w:txbxContent>
                    <w:p w:rsidR="0058407F" w:rsidRPr="00CA4DA7" w:rsidRDefault="0058407F"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3840" behindDoc="0" locked="0" layoutInCell="1" allowOverlap="1" wp14:anchorId="52D21242" wp14:editId="60135BD2">
                <wp:simplePos x="0" y="0"/>
                <wp:positionH relativeFrom="column">
                  <wp:posOffset>866775</wp:posOffset>
                </wp:positionH>
                <wp:positionV relativeFrom="paragraph">
                  <wp:posOffset>181610</wp:posOffset>
                </wp:positionV>
                <wp:extent cx="5256000" cy="720000"/>
                <wp:effectExtent l="0" t="0" r="20955" b="23495"/>
                <wp:wrapNone/>
                <wp:docPr id="25" name="Rectángulo redondeado 25"/>
                <wp:cNvGraphicFramePr/>
                <a:graphic xmlns:a="http://schemas.openxmlformats.org/drawingml/2006/main">
                  <a:graphicData uri="http://schemas.microsoft.com/office/word/2010/wordprocessingShape">
                    <wps:wsp>
                      <wps:cNvSpPr/>
                      <wps:spPr>
                        <a:xfrm>
                          <a:off x="0" y="0"/>
                          <a:ext cx="5256000" cy="720000"/>
                        </a:xfrm>
                        <a:prstGeom prst="roundRect">
                          <a:avLst/>
                        </a:prstGeom>
                        <a:ln>
                          <a:prstDash val="sysDash"/>
                        </a:ln>
                      </wps:spPr>
                      <wps:style>
                        <a:lnRef idx="1">
                          <a:schemeClr val="accent4"/>
                        </a:lnRef>
                        <a:fillRef idx="3">
                          <a:schemeClr val="accent4"/>
                        </a:fillRef>
                        <a:effectRef idx="2">
                          <a:schemeClr val="accent4"/>
                        </a:effectRef>
                        <a:fontRef idx="minor">
                          <a:schemeClr val="lt1"/>
                        </a:fontRef>
                      </wps:style>
                      <wps:txbx>
                        <w:txbxContent>
                          <w:p w:rsidR="0058407F" w:rsidRPr="00CA4DA7" w:rsidRDefault="0058407F"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1242" id="Rectángulo redondeado 25" o:spid="_x0000_s1034" style="position:absolute;margin-left:68.25pt;margin-top:14.3pt;width:413.85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" fillcolor="#ffc310 [3031]" strokecolor="#ffc000 [3207]" strokeweight=".5pt">
                <v:fill color2="#fcbd00 [3175]" rotate="t" colors="0 #ffc746;.5 #ffc600;1 #e5b600" focus="100%" type="gradient">
                  <o:fill v:ext="view" type="gradientUnscaled"/>
                </v:fill>
                <v:stroke dashstyle="3 1" joinstyle="miter"/>
                <v:textbox>
                  <w:txbxContent>
                    <w:p w:rsidR="0058407F" w:rsidRPr="00CA4DA7" w:rsidRDefault="0058407F"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1792" behindDoc="0" locked="0" layoutInCell="1" allowOverlap="1" wp14:anchorId="029B4C83" wp14:editId="1AD2E95A">
                <wp:simplePos x="0" y="0"/>
                <wp:positionH relativeFrom="margin">
                  <wp:posOffset>342900</wp:posOffset>
                </wp:positionH>
                <wp:positionV relativeFrom="paragraph">
                  <wp:posOffset>28575</wp:posOffset>
                </wp:positionV>
                <wp:extent cx="381000" cy="447675"/>
                <wp:effectExtent l="19050" t="19050" r="19050" b="28575"/>
                <wp:wrapNone/>
                <wp:docPr id="24" name="Lágrima 24"/>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6E45C"/>
                          </a:solidFill>
                          <a:prstDash val="solid"/>
                          <a:miter lim="800000"/>
                        </a:ln>
                        <a:effectLst/>
                      </wps:spPr>
                      <wps:txbx>
                        <w:txbxContent>
                          <w:p w:rsidR="0058407F" w:rsidRPr="006C776C" w:rsidRDefault="0058407F"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4C83" id="Lágrima 24" o:spid="_x0000_s1035" style="position:absolute;margin-left:27pt;margin-top:2.25pt;width:30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" adj="-11796480,,5400" path="m,223838c,100216,85290,,190500,l381000,r,223838c381000,347460,295710,447676,190500,447676,85290,447676,,347460,,223838xe" fillcolor="window" strokecolor="#f6e45c"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w10:wrap anchorx="margin"/>
              </v:shape>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Pr="00B2790D" w:rsidRDefault="00601326" w:rsidP="00B2790D">
      <w:pPr>
        <w:widowControl w:val="0"/>
        <w:spacing w:after="120" w:line="285" w:lineRule="auto"/>
        <w:rPr>
          <w:rFonts w:ascii="Arial" w:eastAsia="Times New Roman" w:hAnsi="Arial" w:cs="Arial"/>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5888" behindDoc="0" locked="0" layoutInCell="1" allowOverlap="1" wp14:anchorId="53388D8B" wp14:editId="3B9AE3D0">
                <wp:simplePos x="0" y="0"/>
                <wp:positionH relativeFrom="margin">
                  <wp:posOffset>342900</wp:posOffset>
                </wp:positionH>
                <wp:positionV relativeFrom="paragraph">
                  <wp:posOffset>247650</wp:posOffset>
                </wp:positionV>
                <wp:extent cx="381000" cy="447675"/>
                <wp:effectExtent l="19050" t="19050" r="19050" b="28575"/>
                <wp:wrapNone/>
                <wp:docPr id="26" name="Lágrima 26"/>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804AB6"/>
                          </a:solidFill>
                          <a:prstDash val="solid"/>
                          <a:miter lim="800000"/>
                        </a:ln>
                        <a:effectLst/>
                      </wps:spPr>
                      <wps:txbx>
                        <w:txbxContent>
                          <w:p w:rsidR="0058407F" w:rsidRPr="006C776C" w:rsidRDefault="0058407F"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8D8B" id="Lágrima 26" o:spid="_x0000_s1036" style="position:absolute;margin-left:27pt;margin-top:19.5pt;width:30pt;height:3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" adj="-11796480,,5400" path="m,223838c,100216,85290,,190500,l381000,r,223838c381000,347460,295710,447676,190500,447676,85290,447676,,347460,,223838xe" fillcolor="window" strokecolor="#804ab6"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87936" behindDoc="0" locked="0" layoutInCell="1" allowOverlap="1" wp14:anchorId="3427F213" wp14:editId="7B7EA115">
                <wp:simplePos x="0" y="0"/>
                <wp:positionH relativeFrom="column">
                  <wp:posOffset>866775</wp:posOffset>
                </wp:positionH>
                <wp:positionV relativeFrom="paragraph">
                  <wp:posOffset>142875</wp:posOffset>
                </wp:positionV>
                <wp:extent cx="5256000" cy="720000"/>
                <wp:effectExtent l="0" t="0" r="20955" b="23495"/>
                <wp:wrapNone/>
                <wp:docPr id="27" name="Rectángulo redondeado 2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804AB6"/>
                        </a:solidFill>
                        <a:ln w="6350" cap="flat" cmpd="sng" algn="ctr">
                          <a:solidFill>
                            <a:srgbClr val="FFC000"/>
                          </a:solidFill>
                          <a:prstDash val="solid"/>
                          <a:miter lim="800000"/>
                        </a:ln>
                        <a:effectLst/>
                      </wps:spPr>
                      <wps:txbx>
                        <w:txbxContent>
                          <w:p w:rsidR="0058407F" w:rsidRPr="00601326" w:rsidRDefault="0058407F"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F213" id="Rectángulo redondeado 27" o:spid="_x0000_s1037" style="position:absolute;margin-left:68.25pt;margin-top:11.25pt;width:413.85pt;height: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" fillcolor="#804ab6" strokecolor="#ffc000" strokeweight=".5pt">
                <v:stroke joinstyle="miter"/>
                <v:textbox>
                  <w:txbxContent>
                    <w:p w:rsidR="0058407F" w:rsidRPr="00601326" w:rsidRDefault="0058407F"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v:textbox>
              </v:roundrect>
            </w:pict>
          </mc:Fallback>
        </mc:AlternateContent>
      </w:r>
    </w:p>
    <w:p w:rsidR="002B3CA5" w:rsidRDefault="00447025" w:rsidP="002B3CA5">
      <w:pPr>
        <w:widowControl w:val="0"/>
        <w:spacing w:after="280" w:line="285" w:lineRule="auto"/>
        <w:rPr>
          <w:rStyle w:val="Textoennegrita"/>
          <w:rFonts w:ascii="inherit" w:hAnsi="inherit" w:cs="Arial"/>
          <w:color w:val="444444"/>
          <w:sz w:val="18"/>
          <w:szCs w:val="18"/>
          <w:bdr w:val="none" w:sz="0" w:space="0" w:color="auto" w:frame="1"/>
          <w:shd w:val="clear" w:color="auto" w:fill="FFFFFF"/>
        </w:rPr>
      </w:pPr>
      <w:r>
        <w:rPr>
          <w:rFonts w:ascii="Arial" w:hAnsi="Arial" w:cs="Arial"/>
          <w:b/>
          <w:bCs/>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t>.</w:t>
      </w:r>
      <w:r>
        <w:rPr>
          <w:rFonts w:ascii="Arial" w:hAnsi="Arial" w:cs="Arial"/>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r>
    </w:p>
    <w:p w:rsidR="00601326" w:rsidRDefault="00601326" w:rsidP="002B3CA5">
      <w:pPr>
        <w:widowControl w:val="0"/>
        <w:spacing w:after="280" w:line="285" w:lineRule="auto"/>
        <w:rPr>
          <w:rFonts w:ascii="Arial" w:eastAsia="Times New Roman" w:hAnsi="Arial" w:cs="Arial"/>
          <w:color w:val="000000"/>
          <w:kern w:val="28"/>
          <w:lang w:eastAsia="es-CO"/>
          <w14:cntxtAlts/>
        </w:rPr>
      </w:pPr>
    </w:p>
    <w:p w:rsidR="002B3CA5" w:rsidRPr="002B3CA5" w:rsidRDefault="002B3CA5" w:rsidP="002B3CA5">
      <w:pPr>
        <w:widowControl w:val="0"/>
        <w:spacing w:after="280" w:line="285" w:lineRule="auto"/>
        <w:rPr>
          <w:rFonts w:ascii="Century Gothic" w:eastAsia="Times New Roman" w:hAnsi="Century Gothic" w:cs="Times New Roman"/>
          <w:color w:val="000000"/>
          <w:kern w:val="28"/>
          <w:sz w:val="20"/>
          <w:szCs w:val="20"/>
          <w:lang w:eastAsia="es-CO"/>
          <w14:cntxtAlts/>
        </w:rPr>
      </w:pPr>
      <w:r w:rsidRPr="002B3CA5">
        <w:rPr>
          <w:rFonts w:ascii="Arial" w:eastAsia="Times New Roman" w:hAnsi="Arial" w:cs="Arial"/>
          <w:color w:val="000000"/>
          <w:kern w:val="28"/>
          <w:lang w:eastAsia="es-CO"/>
          <w14:cntxtAlts/>
        </w:rPr>
        <w:lastRenderedPageBreak/>
        <w:t>Cuando hablamos de una visión táctica nos referimos a la visión desde los procesos y la forma como las actividades ya sean para la estrategia, lo misional, el apoyo y la evaluación en su funcionamiento independiente aportan al cumplimiento de los indicadores desde sus actividades cotidianas</w:t>
      </w:r>
      <w:r w:rsidRPr="002B3CA5">
        <w:rPr>
          <w:rFonts w:ascii="Century Gothic" w:eastAsia="Times New Roman" w:hAnsi="Century Gothic" w:cs="Times New Roman"/>
          <w:color w:val="000000"/>
          <w:kern w:val="28"/>
          <w:sz w:val="20"/>
          <w:szCs w:val="20"/>
          <w:lang w:eastAsia="es-CO"/>
          <w14:cntxtAlts/>
        </w:rPr>
        <w:t>.</w:t>
      </w:r>
    </w:p>
    <w:p w:rsidR="002B3CA5" w:rsidRP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Default="002B3CA5" w:rsidP="002B3CA5">
      <w:pPr>
        <w:widowControl w:val="0"/>
        <w:spacing w:after="120" w:line="285" w:lineRule="auto"/>
        <w:rPr>
          <w:rFonts w:ascii="Times New Roman" w:eastAsia="Times New Roman" w:hAnsi="Times New Roman" w:cs="Times New Roman"/>
          <w:b/>
          <w:bCs/>
          <w:color w:val="140C50"/>
          <w:kern w:val="28"/>
          <w:sz w:val="48"/>
          <w:szCs w:val="48"/>
          <w:lang w:eastAsia="es-CO"/>
          <w14:cntxtAlts/>
        </w:rPr>
      </w:pPr>
      <w:r w:rsidRPr="002B3CA5">
        <w:rPr>
          <w:rFonts w:ascii="Times New Roman" w:eastAsia="Times New Roman" w:hAnsi="Times New Roman" w:cs="Times New Roman"/>
          <w:b/>
          <w:bCs/>
          <w:color w:val="140C50"/>
          <w:kern w:val="28"/>
          <w:sz w:val="48"/>
          <w:szCs w:val="48"/>
          <w:lang w:eastAsia="es-CO"/>
          <w14:cntxtAlts/>
        </w:rPr>
        <w:t>Mapa de Procesos</w:t>
      </w:r>
    </w:p>
    <w:p w:rsidR="002B3CA5" w:rsidRPr="002B3CA5" w:rsidRDefault="002B3CA5" w:rsidP="00F7797E">
      <w:pPr>
        <w:widowControl w:val="0"/>
        <w:spacing w:after="120" w:line="285" w:lineRule="auto"/>
        <w:jc w:val="center"/>
        <w:rPr>
          <w:rFonts w:ascii="Times New Roman" w:eastAsia="Times New Roman" w:hAnsi="Times New Roman" w:cs="Times New Roman"/>
          <w:b/>
          <w:bCs/>
          <w:color w:val="140C50"/>
          <w:kern w:val="28"/>
          <w:sz w:val="144"/>
          <w:szCs w:val="144"/>
          <w:lang w:eastAsia="es-CO"/>
          <w14:cntxtAlts/>
        </w:rPr>
      </w:pPr>
      <w:r>
        <w:rPr>
          <w:noProof/>
          <w:lang w:eastAsia="es-CO"/>
        </w:rPr>
        <w:drawing>
          <wp:inline distT="0" distB="0" distL="0" distR="0" wp14:anchorId="6EE2FBF6" wp14:editId="14E8FF4F">
            <wp:extent cx="5857163" cy="442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163" cy="4428000"/>
                    </a:xfrm>
                    <a:prstGeom prst="rect">
                      <a:avLst/>
                    </a:prstGeom>
                  </pic:spPr>
                </pic:pic>
              </a:graphicData>
            </a:graphic>
          </wp:inline>
        </w:drawing>
      </w:r>
    </w:p>
    <w:p w:rsid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Pr="002B3CA5" w:rsidRDefault="009C1DAF" w:rsidP="002B3CA5">
      <w:pPr>
        <w:widowControl w:val="0"/>
        <w:spacing w:after="120" w:line="285" w:lineRule="auto"/>
        <w:rPr>
          <w:rFonts w:ascii="Georgia" w:eastAsia="Times New Roman" w:hAnsi="Georgia" w:cs="Times New Roman"/>
          <w:color w:val="000000"/>
          <w:kern w:val="28"/>
          <w:sz w:val="20"/>
          <w:szCs w:val="20"/>
          <w:lang w:eastAsia="es-CO"/>
          <w14:cntxtAlts/>
        </w:rPr>
      </w:pPr>
    </w:p>
    <w:p w:rsidR="009767C4" w:rsidRPr="009767C4" w:rsidRDefault="00447025" w:rsidP="00447025">
      <w:pPr>
        <w:rPr>
          <w:color w:val="000000" w:themeColor="text1"/>
          <w:sz w:val="44"/>
          <w:szCs w:val="44"/>
        </w:rPr>
      </w:pPr>
      <w:r w:rsidRPr="00447025">
        <w:rPr>
          <w:rFonts w:ascii="Times New Roman" w:eastAsia="Times New Roman" w:hAnsi="Times New Roman" w:cs="Times New Roman"/>
          <w:b/>
          <w:bCs/>
          <w:color w:val="140C50"/>
          <w:kern w:val="28"/>
          <w:sz w:val="48"/>
          <w:szCs w:val="48"/>
          <w:lang w:eastAsia="es-CO"/>
          <w14:cntxtAlts/>
        </w:rPr>
        <w:t>Organigrama - Dependenci</w:t>
      </w:r>
      <w:r w:rsidRPr="00447025">
        <w:rPr>
          <w:color w:val="000000" w:themeColor="text1"/>
          <w:sz w:val="44"/>
          <w:szCs w:val="44"/>
        </w:rPr>
        <w:t>as</w:t>
      </w:r>
    </w:p>
    <w:p w:rsidR="00D506D6" w:rsidRPr="009C1DAF" w:rsidRDefault="00447025" w:rsidP="009C1DAF">
      <w:pPr>
        <w:widowControl w:val="0"/>
        <w:spacing w:after="120" w:line="285" w:lineRule="auto"/>
        <w:rPr>
          <w:rFonts w:ascii="Arial" w:eastAsia="Times New Roman" w:hAnsi="Arial" w:cs="Arial"/>
          <w:color w:val="000000"/>
          <w:kern w:val="28"/>
          <w:sz w:val="20"/>
          <w:szCs w:val="20"/>
          <w:lang w:eastAsia="es-CO"/>
          <w14:cntxtAlts/>
        </w:rPr>
      </w:pPr>
      <w:r w:rsidRPr="00447025">
        <w:rPr>
          <w:rFonts w:ascii="Arial" w:eastAsia="Times New Roman" w:hAnsi="Arial" w:cs="Arial"/>
          <w:color w:val="000000"/>
          <w:kern w:val="28"/>
          <w:lang w:eastAsia="es-CO"/>
          <w14:cntxtAlts/>
        </w:rPr>
        <w:t>Una visión operativa se define como la mirada a fondo de la organización, desde la óptica del aporte de indicadores como dependencias y como el esfuerzo individual llevan a un cumplimiento de metas de los procesos a los objetivos institucionales</w:t>
      </w:r>
    </w:p>
    <w:p w:rsidR="00D506D6" w:rsidRDefault="009C1DAF" w:rsidP="00D506D6">
      <w:pPr>
        <w:jc w:val="center"/>
        <w:rPr>
          <w:color w:val="000000" w:themeColor="text1"/>
          <w:sz w:val="96"/>
          <w:szCs w:val="96"/>
        </w:rPr>
      </w:pPr>
      <w:r>
        <w:rPr>
          <w:noProof/>
          <w:lang w:eastAsia="es-CO"/>
        </w:rPr>
        <w:lastRenderedPageBreak/>
        <w:drawing>
          <wp:inline distT="0" distB="0" distL="0" distR="0" wp14:anchorId="205EFE27" wp14:editId="4382E5D8">
            <wp:extent cx="5491934" cy="57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1934" cy="5760000"/>
                    </a:xfrm>
                    <a:prstGeom prst="rect">
                      <a:avLst/>
                    </a:prstGeom>
                  </pic:spPr>
                </pic:pic>
              </a:graphicData>
            </a:graphic>
          </wp:inline>
        </w:drawing>
      </w:r>
    </w:p>
    <w:p w:rsidR="003A63E9" w:rsidRDefault="009C1DAF" w:rsidP="003A63E9">
      <w:pPr>
        <w:jc w:val="center"/>
        <w:rPr>
          <w:color w:val="000000" w:themeColor="text1"/>
          <w:sz w:val="96"/>
          <w:szCs w:val="96"/>
        </w:rPr>
      </w:pPr>
      <w:r>
        <w:rPr>
          <w:noProof/>
          <w:lang w:eastAsia="es-CO"/>
        </w:rPr>
        <w:drawing>
          <wp:inline distT="0" distB="0" distL="0" distR="0" wp14:anchorId="05DC87C5" wp14:editId="387FA0C1">
            <wp:extent cx="4168409" cy="2088000"/>
            <wp:effectExtent l="0" t="0" r="381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8409" cy="2088000"/>
                    </a:xfrm>
                    <a:prstGeom prst="rect">
                      <a:avLst/>
                    </a:prstGeom>
                  </pic:spPr>
                </pic:pic>
              </a:graphicData>
            </a:graphic>
          </wp:inline>
        </w:drawing>
      </w:r>
    </w:p>
    <w:p w:rsidR="00A40726" w:rsidRPr="003A63E9" w:rsidRDefault="001E7B9C" w:rsidP="003A63E9">
      <w:pPr>
        <w:jc w:val="center"/>
        <w:rPr>
          <w:color w:val="000000" w:themeColor="text1"/>
          <w:sz w:val="96"/>
          <w:szCs w:val="96"/>
        </w:rPr>
      </w:pPr>
      <w:r w:rsidRPr="001E7B9C">
        <w:rPr>
          <w:rFonts w:ascii="Georgia" w:eastAsia="Times New Roman" w:hAnsi="Georgia" w:cs="Times New Roman"/>
          <w:color w:val="000000"/>
          <w:kern w:val="28"/>
          <w:sz w:val="20"/>
          <w:szCs w:val="20"/>
          <w:lang w:eastAsia="es-CO"/>
          <w14:cntxtAlts/>
        </w:rPr>
        <w:lastRenderedPageBreak/>
        <w:t> </w:t>
      </w:r>
      <w:r w:rsidR="00A40726"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A40726" w:rsidRPr="00A40726" w:rsidRDefault="00A4072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procesos</w:t>
      </w:r>
    </w:p>
    <w:p w:rsidR="00A40726" w:rsidRPr="00A40726" w:rsidRDefault="00A40726" w:rsidP="00A40726">
      <w:pPr>
        <w:widowControl w:val="0"/>
        <w:spacing w:after="120" w:line="285" w:lineRule="auto"/>
        <w:rPr>
          <w:rFonts w:ascii="Georgia" w:eastAsia="Times New Roman" w:hAnsi="Georgia" w:cs="Times New Roman"/>
          <w:color w:val="000000"/>
          <w:kern w:val="28"/>
          <w:sz w:val="20"/>
          <w:szCs w:val="20"/>
          <w:lang w:eastAsia="es-CO"/>
          <w14:cntxtAlts/>
        </w:rPr>
      </w:pPr>
      <w:r w:rsidRPr="00A40726">
        <w:rPr>
          <w:rFonts w:ascii="Georgia" w:eastAsia="Times New Roman" w:hAnsi="Georgia" w:cs="Times New Roman"/>
          <w:color w:val="000000"/>
          <w:kern w:val="28"/>
          <w:sz w:val="20"/>
          <w:szCs w:val="20"/>
          <w:lang w:eastAsia="es-CO"/>
          <w14:cntxtAlts/>
        </w:rPr>
        <w:t> </w:t>
      </w:r>
    </w:p>
    <w:p w:rsidR="001E7B9C" w:rsidRDefault="008C44C5" w:rsidP="001E7B9C">
      <w:pPr>
        <w:widowControl w:val="0"/>
        <w:spacing w:after="120" w:line="285" w:lineRule="auto"/>
        <w:rPr>
          <w:rFonts w:ascii="Arial" w:eastAsia="Times New Roman" w:hAnsi="Arial" w:cs="Arial"/>
          <w:color w:val="000000"/>
          <w:kern w:val="28"/>
          <w:szCs w:val="20"/>
          <w:lang w:eastAsia="es-CO"/>
          <w14:cntxtAlts/>
        </w:rPr>
      </w:pPr>
      <w:r w:rsidRPr="008C44C5">
        <w:rPr>
          <w:rFonts w:ascii="Arial" w:eastAsia="Times New Roman" w:hAnsi="Arial" w:cs="Arial"/>
          <w:color w:val="000000"/>
          <w:kern w:val="28"/>
          <w:szCs w:val="20"/>
          <w:lang w:eastAsia="es-CO"/>
          <w14:cntxtAlts/>
        </w:rPr>
        <w:t xml:space="preserve">Se describe la medición que da cumplimiento de los procesos del SIG a través de los </w:t>
      </w:r>
      <w:r>
        <w:rPr>
          <w:rFonts w:ascii="Arial" w:eastAsia="Times New Roman" w:hAnsi="Arial" w:cs="Arial"/>
          <w:color w:val="000000"/>
          <w:kern w:val="28"/>
          <w:szCs w:val="20"/>
          <w:lang w:eastAsia="es-CO"/>
          <w14:cntxtAlts/>
        </w:rPr>
        <w:t xml:space="preserve">indicadores reportados para el </w:t>
      </w:r>
      <w:r w:rsidR="00C4794E">
        <w:rPr>
          <w:rFonts w:ascii="Arial" w:eastAsia="Times New Roman" w:hAnsi="Arial" w:cs="Arial"/>
          <w:color w:val="000000"/>
          <w:kern w:val="28"/>
          <w:szCs w:val="20"/>
          <w:lang w:eastAsia="es-CO"/>
          <w14:cntxtAlts/>
        </w:rPr>
        <w:t>III trimestre 2019</w:t>
      </w:r>
    </w:p>
    <w:p w:rsidR="008C44C5" w:rsidRDefault="008C44C5" w:rsidP="001E7B9C">
      <w:pPr>
        <w:widowControl w:val="0"/>
        <w:spacing w:after="120" w:line="285" w:lineRule="auto"/>
        <w:rPr>
          <w:rFonts w:ascii="Arial" w:eastAsia="Times New Roman" w:hAnsi="Arial" w:cs="Arial"/>
          <w:color w:val="000000"/>
          <w:kern w:val="28"/>
          <w:szCs w:val="20"/>
          <w:lang w:eastAsia="es-CO"/>
          <w14:cntxtAlts/>
        </w:rPr>
      </w:pPr>
      <w:r>
        <w:rPr>
          <w:rFonts w:ascii="Times New Roman" w:hAnsi="Times New Roman"/>
          <w:noProof/>
          <w:sz w:val="24"/>
          <w:szCs w:val="24"/>
          <w:lang w:eastAsia="es-CO"/>
        </w:rPr>
        <w:drawing>
          <wp:anchor distT="0" distB="0" distL="114300" distR="114300" simplePos="0" relativeHeight="251696128" behindDoc="0" locked="0" layoutInCell="1" allowOverlap="1" wp14:anchorId="2A9F9B1C" wp14:editId="5A16C82E">
            <wp:simplePos x="0" y="0"/>
            <wp:positionH relativeFrom="column">
              <wp:posOffset>1714500</wp:posOffset>
            </wp:positionH>
            <wp:positionV relativeFrom="paragraph">
              <wp:posOffset>224155</wp:posOffset>
            </wp:positionV>
            <wp:extent cx="3008630" cy="2020594"/>
            <wp:effectExtent l="0" t="0" r="1270" b="0"/>
            <wp:wrapNone/>
            <wp:docPr id="33" name="Imagen 33" descr="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DO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387" cy="2027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C5" w:rsidRPr="001E7B9C" w:rsidRDefault="008C44C5" w:rsidP="001E7B9C">
      <w:pPr>
        <w:widowControl w:val="0"/>
        <w:spacing w:after="120" w:line="285" w:lineRule="auto"/>
        <w:rPr>
          <w:rFonts w:ascii="Arial" w:eastAsia="Times New Roman" w:hAnsi="Arial" w:cs="Arial"/>
          <w:color w:val="000000"/>
          <w:kern w:val="28"/>
          <w:szCs w:val="20"/>
          <w:lang w:eastAsia="es-CO"/>
          <w14:cntxtAlts/>
        </w:rPr>
      </w:pPr>
    </w:p>
    <w:p w:rsidR="00F63ACC" w:rsidRPr="00F63ACC"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3E3F16" w:rsidRDefault="003E3F16" w:rsidP="00D506D6">
      <w:pPr>
        <w:jc w:val="center"/>
        <w:rPr>
          <w:color w:val="000000" w:themeColor="text1"/>
          <w:sz w:val="96"/>
          <w:szCs w:val="96"/>
        </w:rPr>
      </w:pPr>
    </w:p>
    <w:p w:rsidR="003E3F16" w:rsidRDefault="003E3F16" w:rsidP="00D506D6">
      <w:pPr>
        <w:jc w:val="center"/>
        <w:rPr>
          <w:color w:val="000000" w:themeColor="text1"/>
          <w:sz w:val="96"/>
          <w:szCs w:val="96"/>
        </w:rPr>
      </w:pPr>
    </w:p>
    <w:p w:rsidR="008C44C5" w:rsidRPr="008C44C5" w:rsidRDefault="008C44C5" w:rsidP="008C44C5">
      <w:pPr>
        <w:jc w:val="both"/>
        <w:rPr>
          <w:rFonts w:ascii="Arial" w:hAnsi="Arial" w:cs="Arial"/>
          <w:color w:val="000000" w:themeColor="text1"/>
        </w:rPr>
      </w:pPr>
    </w:p>
    <w:p w:rsidR="006725C9" w:rsidRDefault="001D1397" w:rsidP="008C44C5">
      <w:pPr>
        <w:autoSpaceDE w:val="0"/>
        <w:autoSpaceDN w:val="0"/>
        <w:adjustRightInd w:val="0"/>
        <w:spacing w:after="0" w:line="240" w:lineRule="auto"/>
        <w:rPr>
          <w:rFonts w:ascii="Arial" w:hAnsi="Arial" w:cs="Arial"/>
          <w:b/>
          <w:bCs/>
          <w:color w:val="2F5497"/>
        </w:rPr>
      </w:pPr>
      <w:r>
        <w:rPr>
          <w:noProof/>
          <w:color w:val="000000" w:themeColor="text1"/>
          <w:sz w:val="96"/>
          <w:szCs w:val="96"/>
          <w:lang w:eastAsia="es-CO"/>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62865</wp:posOffset>
                </wp:positionV>
                <wp:extent cx="5010150" cy="333375"/>
                <wp:effectExtent l="57150" t="57150" r="57150" b="47625"/>
                <wp:wrapNone/>
                <wp:docPr id="36" name="Proceso 36"/>
                <wp:cNvGraphicFramePr/>
                <a:graphic xmlns:a="http://schemas.openxmlformats.org/drawingml/2006/main">
                  <a:graphicData uri="http://schemas.microsoft.com/office/word/2010/wordprocessingShape">
                    <wps:wsp>
                      <wps:cNvSpPr/>
                      <wps:spPr>
                        <a:xfrm>
                          <a:off x="0" y="0"/>
                          <a:ext cx="5010150" cy="333375"/>
                        </a:xfrm>
                        <a:prstGeom prst="flowChartProcess">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58407F" w:rsidRPr="00AC6204" w:rsidRDefault="0058407F"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36" o:spid="_x0000_s1038" type="#_x0000_t109" style="position:absolute;margin-left:0;margin-top:4.95pt;width:394.5pt;height:26.2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" fillcolor="#5b9bd5 [3204]" strokecolor="#1f4d78 [1604]" strokeweight="1pt">
                <v:textbox>
                  <w:txbxContent>
                    <w:p w:rsidR="0058407F" w:rsidRPr="00AC6204" w:rsidRDefault="0058407F"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v:textbox>
                <w10:wrap anchorx="margin"/>
              </v:shape>
            </w:pict>
          </mc:Fallback>
        </mc:AlternateContent>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F7797E">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F7797E" w:rsidP="00F7797E">
      <w:pPr>
        <w:autoSpaceDE w:val="0"/>
        <w:autoSpaceDN w:val="0"/>
        <w:adjustRightInd w:val="0"/>
        <w:spacing w:after="0" w:line="240" w:lineRule="auto"/>
        <w:jc w:val="center"/>
        <w:rPr>
          <w:rFonts w:ascii="Arial" w:hAnsi="Arial" w:cs="Arial"/>
          <w:b/>
          <w:bCs/>
          <w:color w:val="2F5497"/>
        </w:rPr>
      </w:pPr>
      <w:r w:rsidRPr="00F7797E">
        <w:rPr>
          <w:rFonts w:ascii="Arial" w:hAnsi="Arial" w:cs="Arial"/>
          <w:b/>
          <w:bCs/>
          <w:noProof/>
          <w:color w:val="2F5497"/>
          <w:lang w:eastAsia="es-CO"/>
        </w:rPr>
        <w:drawing>
          <wp:inline distT="0" distB="0" distL="0" distR="0" wp14:anchorId="0F2B31B3" wp14:editId="32876140">
            <wp:extent cx="3962400" cy="1597951"/>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0860" cy="1605395"/>
                    </a:xfrm>
                    <a:prstGeom prst="rect">
                      <a:avLst/>
                    </a:prstGeom>
                  </pic:spPr>
                </pic:pic>
              </a:graphicData>
            </a:graphic>
          </wp:inline>
        </w:drawing>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6725C9" w:rsidRDefault="006725C9" w:rsidP="008C44C5">
      <w:pPr>
        <w:autoSpaceDE w:val="0"/>
        <w:autoSpaceDN w:val="0"/>
        <w:adjustRightInd w:val="0"/>
        <w:spacing w:after="0" w:line="240" w:lineRule="auto"/>
        <w:rPr>
          <w:rFonts w:ascii="Arial" w:hAnsi="Arial" w:cs="Arial"/>
          <w:b/>
          <w:bCs/>
          <w:color w:val="2F5497"/>
        </w:rPr>
      </w:pPr>
    </w:p>
    <w:p w:rsidR="008C44C5" w:rsidRDefault="008C44C5" w:rsidP="008C44C5">
      <w:pPr>
        <w:autoSpaceDE w:val="0"/>
        <w:autoSpaceDN w:val="0"/>
        <w:adjustRightInd w:val="0"/>
        <w:spacing w:after="0" w:line="240" w:lineRule="auto"/>
        <w:rPr>
          <w:rFonts w:ascii="Arial" w:hAnsi="Arial" w:cs="Arial"/>
          <w:b/>
          <w:bCs/>
          <w:color w:val="2F5497"/>
        </w:rPr>
      </w:pPr>
      <w:r w:rsidRPr="008C44C5">
        <w:rPr>
          <w:rFonts w:ascii="Arial" w:hAnsi="Arial" w:cs="Arial"/>
          <w:b/>
          <w:bCs/>
          <w:color w:val="2F5497"/>
        </w:rPr>
        <w:lastRenderedPageBreak/>
        <w:t>Proceso Direccionamiento y Planeación Institucional</w:t>
      </w:r>
    </w:p>
    <w:p w:rsidR="008C44C5" w:rsidRDefault="008C44C5" w:rsidP="008C44C5">
      <w:pPr>
        <w:autoSpaceDE w:val="0"/>
        <w:autoSpaceDN w:val="0"/>
        <w:adjustRightInd w:val="0"/>
        <w:spacing w:after="0" w:line="240" w:lineRule="auto"/>
        <w:rPr>
          <w:rFonts w:ascii="Arial" w:hAnsi="Arial" w:cs="Arial"/>
          <w:b/>
          <w:bCs/>
          <w:color w:val="2F5497"/>
        </w:rPr>
      </w:pPr>
    </w:p>
    <w:p w:rsidR="008C44C5" w:rsidRPr="008C44C5" w:rsidRDefault="00F7797E" w:rsidP="0042321F">
      <w:pPr>
        <w:autoSpaceDE w:val="0"/>
        <w:autoSpaceDN w:val="0"/>
        <w:adjustRightInd w:val="0"/>
        <w:spacing w:after="0" w:line="240" w:lineRule="auto"/>
        <w:jc w:val="center"/>
        <w:rPr>
          <w:rFonts w:ascii="Arial" w:hAnsi="Arial" w:cs="Arial"/>
          <w:b/>
          <w:bCs/>
          <w:color w:val="2F5497"/>
        </w:rPr>
      </w:pPr>
      <w:r w:rsidRPr="00F7797E">
        <w:rPr>
          <w:rFonts w:ascii="Arial" w:hAnsi="Arial" w:cs="Arial"/>
          <w:b/>
          <w:bCs/>
          <w:noProof/>
          <w:color w:val="2F5497"/>
          <w:lang w:eastAsia="es-CO"/>
        </w:rPr>
        <w:drawing>
          <wp:inline distT="0" distB="0" distL="0" distR="0" wp14:anchorId="1A62D38B" wp14:editId="0F8301B0">
            <wp:extent cx="2818084" cy="22955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1395" cy="2298222"/>
                    </a:xfrm>
                    <a:prstGeom prst="rect">
                      <a:avLst/>
                    </a:prstGeom>
                  </pic:spPr>
                </pic:pic>
              </a:graphicData>
            </a:graphic>
          </wp:inline>
        </w:drawing>
      </w:r>
    </w:p>
    <w:p w:rsidR="008C44C5" w:rsidRDefault="008C44C5" w:rsidP="008C44C5">
      <w:pPr>
        <w:autoSpaceDE w:val="0"/>
        <w:autoSpaceDN w:val="0"/>
        <w:adjustRightInd w:val="0"/>
        <w:spacing w:after="0" w:line="240" w:lineRule="auto"/>
        <w:rPr>
          <w:rFonts w:ascii="Arial" w:hAnsi="Arial" w:cs="Arial"/>
          <w:color w:val="000000"/>
        </w:rPr>
      </w:pPr>
    </w:p>
    <w:p w:rsidR="008C44C5" w:rsidRDefault="008C44C5" w:rsidP="008C44C5">
      <w:pPr>
        <w:autoSpaceDE w:val="0"/>
        <w:autoSpaceDN w:val="0"/>
        <w:adjustRightInd w:val="0"/>
        <w:spacing w:after="0" w:line="240" w:lineRule="auto"/>
        <w:rPr>
          <w:rFonts w:ascii="Arial" w:hAnsi="Arial" w:cs="Arial"/>
          <w:color w:val="000000"/>
        </w:rPr>
      </w:pPr>
      <w:r w:rsidRPr="008C44C5">
        <w:rPr>
          <w:rFonts w:ascii="Arial" w:hAnsi="Arial" w:cs="Arial"/>
          <w:color w:val="000000"/>
        </w:rPr>
        <w:t>Dentro los aspectos que contribuyen al</w:t>
      </w:r>
      <w:r>
        <w:rPr>
          <w:rFonts w:ascii="Arial" w:hAnsi="Arial" w:cs="Arial"/>
          <w:color w:val="000000"/>
        </w:rPr>
        <w:t xml:space="preserve"> porcentaje de cumplimiento del </w:t>
      </w:r>
      <w:r w:rsidRPr="008C44C5">
        <w:rPr>
          <w:rFonts w:ascii="Arial" w:hAnsi="Arial" w:cs="Arial"/>
          <w:color w:val="000000"/>
        </w:rPr>
        <w:t>Proceso de Direccionamiento Estratég</w:t>
      </w:r>
      <w:r>
        <w:rPr>
          <w:rFonts w:ascii="Arial" w:hAnsi="Arial" w:cs="Arial"/>
          <w:color w:val="000000"/>
        </w:rPr>
        <w:t xml:space="preserve">ico y Desarrollo Institucional, </w:t>
      </w:r>
      <w:r w:rsidRPr="008C44C5">
        <w:rPr>
          <w:rFonts w:ascii="Arial" w:hAnsi="Arial" w:cs="Arial"/>
          <w:color w:val="000000"/>
        </w:rPr>
        <w:t>podemos destacar:</w:t>
      </w:r>
    </w:p>
    <w:p w:rsidR="008C44C5" w:rsidRPr="008C44C5" w:rsidRDefault="008C44C5" w:rsidP="008C44C5">
      <w:pPr>
        <w:autoSpaceDE w:val="0"/>
        <w:autoSpaceDN w:val="0"/>
        <w:adjustRightInd w:val="0"/>
        <w:spacing w:after="0" w:line="240" w:lineRule="auto"/>
        <w:rPr>
          <w:rFonts w:ascii="Arial" w:hAnsi="Arial" w:cs="Arial"/>
          <w:color w:val="000000"/>
        </w:rPr>
      </w:pP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primer  trimestre de 2019  no se realizaron trámites de vigencias futuras en el MJD,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segundo  trimestre de 2019  no se realizaron trámites de vigencias futuras en el MJD,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tercer  trimestre de 2019  se realizó un (1) trámite de vigencias futuras en el MJD, de Funcionamiento.</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cuarto trimestre de 2019 se realizó un (1) trámite de vigencia futura del MJD correspondiente a funcionamiento.</w:t>
      </w:r>
    </w:p>
    <w:p w:rsidR="0042321F"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la vigencia se solicitó ante la OAP el trámite de 3 autorización de vigencias futuras del MJD correspondientes a funcionamiento</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Primer trimestre de 2019,  se atendió una (1)  solicitud de modificación presupuestal de Funcionamiento del Grupo de Gestión Administrativa Financiera y Contable.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 Durante el segundo  trimestre no se realizaron trámites de modificación del pr</w:t>
      </w:r>
      <w:r>
        <w:rPr>
          <w:rFonts w:ascii="Arial" w:hAnsi="Arial" w:cs="Arial"/>
          <w:color w:val="000000"/>
        </w:rPr>
        <w:t>esupuesto de funcionamiento Minj</w:t>
      </w:r>
      <w:r w:rsidRPr="00F7797E">
        <w:rPr>
          <w:rFonts w:ascii="Arial" w:hAnsi="Arial" w:cs="Arial"/>
          <w:color w:val="000000"/>
        </w:rPr>
        <w:t>usticia porque la OAP no recibió ninguna solicitud de las dependencias.</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tercer trimestre de 2019,  se atendió una (1)  solicitud de modificación presupuestal de funcionamiento correspondiente a la Dirección de Asuntos Internacionales.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cuarto y último trimestre del 2019 se requirieron y tramitaron 2 modificaciones presupuestales de funcionamiento.</w:t>
      </w:r>
    </w:p>
    <w:p w:rsid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En el año se solicitaron y tramitaron en la OAP, 4 modificaciones presupuestales de funcionamiento, cumpliendo con la meta del indicador al 100%</w:t>
      </w:r>
    </w:p>
    <w:p w:rsid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Los tiempos promedios empleados para dicha labor contados desde la solicitud allegada a la Oficina Asesora de Planeación por parte de la dependencia interesada hasta la radicación del acto administrativo en la DGPPN fue  promedio 5 días. Cumpliendo así el tiempo establecido como meta, durante la vigencia.</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Pr>
          <w:rFonts w:ascii="Arial" w:hAnsi="Arial" w:cs="Arial"/>
          <w:color w:val="000000"/>
        </w:rPr>
        <w:t>En lo relacionado con la Dirección de Asuntos Internacionales se concluye que</w:t>
      </w:r>
      <w:r w:rsidRPr="00F7797E">
        <w:rPr>
          <w:rFonts w:ascii="Arial" w:hAnsi="Arial" w:cs="Arial"/>
          <w:color w:val="000000"/>
        </w:rPr>
        <w:t xml:space="preserve"> durante el segundo semestre del año 2019, se suscribieron 2 de los 4 contratos que se tenían previsto realizar, de modo que se cumplió con la meta en un 50% del total de lo previsto, los contratos que no se suscribieron se debió a que como corresponden a recursos de donación y se acordó con el donante y la dependencia beneficiaria del Ministerio, que las actividades que se debían contratar se modifican para verificar la realización en la siguiente vigencia y en consecuencia realizar los contratos, razón por la cual se concluye que si bien es cierto no se cumplió con la </w:t>
      </w:r>
      <w:r w:rsidRPr="00F7797E">
        <w:rPr>
          <w:rFonts w:ascii="Arial" w:hAnsi="Arial" w:cs="Arial"/>
          <w:color w:val="000000"/>
        </w:rPr>
        <w:lastRenderedPageBreak/>
        <w:t>contratación, esto se debió a razones externas al Ministerio y que requieren de la autorización</w:t>
      </w:r>
      <w:r>
        <w:rPr>
          <w:rFonts w:ascii="Arial" w:hAnsi="Arial" w:cs="Arial"/>
          <w:color w:val="000000"/>
        </w:rPr>
        <w:t xml:space="preserve"> del cooperante, teniendo así un resultado del 50% de cumplimiento para la vigencia.</w:t>
      </w:r>
    </w:p>
    <w:p w:rsidR="0042321F" w:rsidRDefault="0042321F" w:rsidP="0042321F">
      <w:pPr>
        <w:autoSpaceDE w:val="0"/>
        <w:autoSpaceDN w:val="0"/>
        <w:adjustRightInd w:val="0"/>
        <w:spacing w:after="0" w:line="240" w:lineRule="auto"/>
        <w:jc w:val="both"/>
        <w:rPr>
          <w:rFonts w:ascii="Arial" w:hAnsi="Arial" w:cs="Arial"/>
          <w:color w:val="000000"/>
        </w:rPr>
      </w:pPr>
    </w:p>
    <w:p w:rsidR="0042321F" w:rsidRDefault="0042321F" w:rsidP="0042321F">
      <w:pPr>
        <w:autoSpaceDE w:val="0"/>
        <w:autoSpaceDN w:val="0"/>
        <w:adjustRightInd w:val="0"/>
        <w:spacing w:after="0" w:line="240" w:lineRule="auto"/>
        <w:jc w:val="both"/>
        <w:rPr>
          <w:rFonts w:ascii="Arial" w:hAnsi="Arial" w:cs="Arial"/>
          <w:color w:val="000000"/>
        </w:rPr>
      </w:pPr>
    </w:p>
    <w:p w:rsidR="0042321F" w:rsidRPr="0042321F" w:rsidRDefault="0042321F" w:rsidP="0042321F">
      <w:pPr>
        <w:autoSpaceDE w:val="0"/>
        <w:autoSpaceDN w:val="0"/>
        <w:adjustRightInd w:val="0"/>
        <w:spacing w:after="0" w:line="240" w:lineRule="auto"/>
        <w:jc w:val="both"/>
        <w:rPr>
          <w:rFonts w:ascii="Arial" w:hAnsi="Arial" w:cs="Arial"/>
          <w:color w:val="000000"/>
        </w:rPr>
      </w:pPr>
    </w:p>
    <w:p w:rsidR="006725C9" w:rsidRPr="00087AC3" w:rsidRDefault="006725C9" w:rsidP="00087AC3">
      <w:pPr>
        <w:pStyle w:val="Prrafodelista"/>
        <w:numPr>
          <w:ilvl w:val="0"/>
          <w:numId w:val="15"/>
        </w:numPr>
        <w:autoSpaceDE w:val="0"/>
        <w:autoSpaceDN w:val="0"/>
        <w:adjustRightInd w:val="0"/>
        <w:spacing w:after="0" w:line="240" w:lineRule="auto"/>
        <w:rPr>
          <w:rFonts w:ascii="Arial" w:hAnsi="Arial" w:cs="Arial"/>
          <w:b/>
          <w:bCs/>
          <w:color w:val="2F5497"/>
        </w:rPr>
      </w:pPr>
      <w:r w:rsidRPr="00C4794E">
        <w:rPr>
          <w:rFonts w:ascii="Arial" w:hAnsi="Arial" w:cs="Arial"/>
          <w:b/>
          <w:bCs/>
          <w:color w:val="2F5497"/>
        </w:rPr>
        <w:t>Proceso Gestión de la Información</w:t>
      </w:r>
    </w:p>
    <w:p w:rsidR="00192895" w:rsidRDefault="00192895" w:rsidP="001D1397">
      <w:pPr>
        <w:autoSpaceDE w:val="0"/>
        <w:autoSpaceDN w:val="0"/>
        <w:adjustRightInd w:val="0"/>
        <w:spacing w:after="0" w:line="240" w:lineRule="auto"/>
        <w:jc w:val="center"/>
        <w:rPr>
          <w:rFonts w:ascii="Arial" w:hAnsi="Arial" w:cs="Arial"/>
          <w:color w:val="000000"/>
        </w:rPr>
      </w:pPr>
    </w:p>
    <w:p w:rsidR="001D1397" w:rsidRDefault="00087AC3" w:rsidP="001D1397">
      <w:pPr>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11A5DBFC" wp14:editId="2F0B8DCC">
            <wp:extent cx="2495550" cy="17574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5926" cy="1771779"/>
                    </a:xfrm>
                    <a:prstGeom prst="rect">
                      <a:avLst/>
                    </a:prstGeom>
                  </pic:spPr>
                </pic:pic>
              </a:graphicData>
            </a:graphic>
          </wp:inline>
        </w:drawing>
      </w:r>
    </w:p>
    <w:p w:rsidR="00760E86" w:rsidRDefault="00760E86" w:rsidP="001D1397">
      <w:pPr>
        <w:autoSpaceDE w:val="0"/>
        <w:autoSpaceDN w:val="0"/>
        <w:adjustRightInd w:val="0"/>
        <w:spacing w:after="0" w:line="240" w:lineRule="auto"/>
        <w:jc w:val="both"/>
        <w:rPr>
          <w:rFonts w:ascii="Arial" w:hAnsi="Arial" w:cs="Arial"/>
          <w:color w:val="000000"/>
        </w:rPr>
      </w:pPr>
    </w:p>
    <w:p w:rsidR="00087AC3" w:rsidRDefault="00087AC3" w:rsidP="001D1397">
      <w:pPr>
        <w:autoSpaceDE w:val="0"/>
        <w:autoSpaceDN w:val="0"/>
        <w:adjustRightInd w:val="0"/>
        <w:spacing w:after="0" w:line="240" w:lineRule="auto"/>
        <w:jc w:val="both"/>
        <w:rPr>
          <w:rFonts w:ascii="Arial" w:hAnsi="Arial" w:cs="Arial"/>
          <w:color w:val="000000"/>
        </w:rPr>
      </w:pPr>
    </w:p>
    <w:p w:rsidR="001D1397" w:rsidRDefault="001D1397" w:rsidP="001D1397">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Dentro de este proceso interviene la oficina de información en justicia además de un indicador propio de periodicidad semestral, su sub proceso de atención al ciudadano que tiene dos indicadores uno de periodicidad trimestral y otro semestral, y el Grupo de C</w:t>
      </w:r>
      <w:r>
        <w:rPr>
          <w:rFonts w:ascii="Arial" w:hAnsi="Arial" w:cs="Arial"/>
          <w:color w:val="000000"/>
        </w:rPr>
        <w:t>omunicaciones con un indicador. Entre los resultados obtenidos por cada indicador se menciona:</w:t>
      </w:r>
    </w:p>
    <w:p w:rsidR="001D1397" w:rsidRDefault="001D1397" w:rsidP="001D1397">
      <w:pPr>
        <w:autoSpaceDE w:val="0"/>
        <w:autoSpaceDN w:val="0"/>
        <w:adjustRightInd w:val="0"/>
        <w:spacing w:after="0" w:line="240" w:lineRule="auto"/>
        <w:jc w:val="both"/>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760E86" w:rsidRDefault="00930D7D" w:rsidP="00F17469">
      <w:pPr>
        <w:pStyle w:val="Prrafodelista"/>
        <w:numPr>
          <w:ilvl w:val="0"/>
          <w:numId w:val="2"/>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w:t>
      </w:r>
      <w:r w:rsidR="0042321F" w:rsidRPr="0042321F">
        <w:rPr>
          <w:rFonts w:ascii="Arial" w:hAnsi="Arial" w:cs="Arial"/>
          <w:color w:val="000000"/>
        </w:rPr>
        <w:t xml:space="preserve">Para el </w:t>
      </w:r>
      <w:r w:rsidR="00087AC3">
        <w:rPr>
          <w:rFonts w:ascii="Arial" w:hAnsi="Arial" w:cs="Arial"/>
          <w:color w:val="000000"/>
        </w:rPr>
        <w:t>último</w:t>
      </w:r>
      <w:r w:rsidR="0042321F" w:rsidRPr="0042321F">
        <w:rPr>
          <w:rFonts w:ascii="Arial" w:hAnsi="Arial" w:cs="Arial"/>
          <w:color w:val="000000"/>
        </w:rPr>
        <w:t xml:space="preserve"> trimestre de 2019 se atendieron </w:t>
      </w:r>
      <w:r w:rsidR="00087AC3">
        <w:rPr>
          <w:rFonts w:ascii="Arial" w:hAnsi="Arial" w:cs="Arial"/>
          <w:color w:val="000000"/>
        </w:rPr>
        <w:t>en su totalidad los</w:t>
      </w:r>
      <w:r w:rsidR="0042321F" w:rsidRPr="0042321F">
        <w:rPr>
          <w:rFonts w:ascii="Arial" w:hAnsi="Arial" w:cs="Arial"/>
          <w:color w:val="000000"/>
        </w:rPr>
        <w:t xml:space="preserve"> requerimientos de</w:t>
      </w:r>
      <w:r w:rsidR="0042321F">
        <w:rPr>
          <w:rFonts w:ascii="Arial" w:hAnsi="Arial" w:cs="Arial"/>
          <w:color w:val="000000"/>
        </w:rPr>
        <w:t xml:space="preserve"> información, </w:t>
      </w:r>
      <w:r w:rsidR="0042321F" w:rsidRPr="0042321F">
        <w:rPr>
          <w:rFonts w:ascii="Arial" w:hAnsi="Arial" w:cs="Arial"/>
          <w:color w:val="000000"/>
        </w:rPr>
        <w:t>el insumo para el registro es la nueva plataforma de EPX, la cual presenta inconsistencia para el veraz y confiable seguimiento, lo anterior se evidencia en correos para el supervisor del contrato y por la mesa de ayuda donde consta en el historial de los funcionarios encargados y en el de la Coordinadora de Grupo de servicio al ciudadano.</w:t>
      </w:r>
    </w:p>
    <w:p w:rsidR="00760E86" w:rsidRPr="0042321F" w:rsidRDefault="0042321F" w:rsidP="00F17469">
      <w:pPr>
        <w:pStyle w:val="Prrafodelista"/>
        <w:numPr>
          <w:ilvl w:val="0"/>
          <w:numId w:val="2"/>
        </w:numPr>
        <w:autoSpaceDE w:val="0"/>
        <w:autoSpaceDN w:val="0"/>
        <w:adjustRightInd w:val="0"/>
        <w:spacing w:after="0" w:line="240" w:lineRule="auto"/>
        <w:jc w:val="both"/>
        <w:rPr>
          <w:rFonts w:ascii="Arial" w:hAnsi="Arial" w:cs="Arial"/>
          <w:color w:val="000000"/>
        </w:rPr>
      </w:pPr>
      <w:r w:rsidRPr="0042321F">
        <w:rPr>
          <w:rFonts w:ascii="Arial" w:hAnsi="Arial" w:cs="Arial"/>
          <w:color w:val="000000"/>
        </w:rPr>
        <w:t xml:space="preserve">A la pregunta ¿Las respuestas que le dieron los funcionarios resolvieron sus inquietudes? durante el </w:t>
      </w:r>
      <w:r w:rsidR="0063770C">
        <w:rPr>
          <w:rFonts w:ascii="Arial" w:hAnsi="Arial" w:cs="Arial"/>
          <w:color w:val="000000"/>
        </w:rPr>
        <w:t>último</w:t>
      </w:r>
      <w:r w:rsidRPr="0042321F">
        <w:rPr>
          <w:rFonts w:ascii="Arial" w:hAnsi="Arial" w:cs="Arial"/>
          <w:color w:val="000000"/>
        </w:rPr>
        <w:t xml:space="preserve"> trimestre de 2019, de los 202 ciudadanos que aceptaron evaluar, 199 ciudadanos respondieron que "SI", estas respuestas fueron consolidadas durante los meses de abril, mayo y junio, los funcionarios solicitan a los ciudadanos atendidos que califiquen de acuerdo a su percepción, la calidad de la atención recibida, frente a esto la mayoría de la ciudadanía se niega a realizarlo. Por los diferentes canales, el de mayor aceptación para la calificación, es el canal presencial y en el canal telefónico, la ciudadanía No registra la calificación</w:t>
      </w:r>
    </w:p>
    <w:p w:rsidR="0042321F" w:rsidRPr="00087AC3" w:rsidRDefault="0042321F" w:rsidP="00087AC3">
      <w:pPr>
        <w:autoSpaceDE w:val="0"/>
        <w:autoSpaceDN w:val="0"/>
        <w:adjustRightInd w:val="0"/>
        <w:spacing w:after="0" w:line="240" w:lineRule="auto"/>
        <w:jc w:val="both"/>
        <w:rPr>
          <w:rFonts w:ascii="Arial" w:hAnsi="Arial" w:cs="Arial"/>
          <w:color w:val="000000"/>
        </w:rPr>
      </w:pP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087AC3" w:rsidRDefault="00930D7D" w:rsidP="00760E86">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1D1397" w:rsidRPr="00760E86" w:rsidRDefault="001D1397"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ab/>
      </w:r>
      <w:r w:rsidRPr="00760E86">
        <w:rPr>
          <w:rFonts w:ascii="Arial" w:hAnsi="Arial" w:cs="Arial"/>
          <w:color w:val="000000"/>
        </w:rPr>
        <w:tab/>
      </w:r>
      <w:r w:rsidRPr="00760E86">
        <w:rPr>
          <w:rFonts w:ascii="Arial" w:hAnsi="Arial" w:cs="Arial"/>
          <w:color w:val="000000"/>
        </w:rPr>
        <w:tab/>
      </w:r>
    </w:p>
    <w:p w:rsidR="001D1397" w:rsidRPr="001D1397" w:rsidRDefault="00760E86" w:rsidP="008E2108">
      <w:pPr>
        <w:pStyle w:val="Prrafodelista"/>
        <w:autoSpaceDE w:val="0"/>
        <w:autoSpaceDN w:val="0"/>
        <w:adjustRightInd w:val="0"/>
        <w:spacing w:after="0" w:line="240" w:lineRule="auto"/>
        <w:jc w:val="both"/>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699200" behindDoc="0" locked="0" layoutInCell="1" allowOverlap="1" wp14:anchorId="7237CA5B" wp14:editId="615B0602">
                <wp:simplePos x="0" y="0"/>
                <wp:positionH relativeFrom="margin">
                  <wp:posOffset>923925</wp:posOffset>
                </wp:positionH>
                <wp:positionV relativeFrom="paragraph">
                  <wp:posOffset>76200</wp:posOffset>
                </wp:positionV>
                <wp:extent cx="5010150" cy="333375"/>
                <wp:effectExtent l="57150" t="38100" r="57150" b="85725"/>
                <wp:wrapNone/>
                <wp:docPr id="9" name="Proceso 9"/>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wps:spPr>
                      <wps:style>
                        <a:lnRef idx="0">
                          <a:schemeClr val="accent4"/>
                        </a:lnRef>
                        <a:fillRef idx="3">
                          <a:schemeClr val="accent4"/>
                        </a:fillRef>
                        <a:effectRef idx="3">
                          <a:schemeClr val="accent4"/>
                        </a:effectRef>
                        <a:fontRef idx="minor">
                          <a:schemeClr val="lt1"/>
                        </a:fontRef>
                      </wps:style>
                      <wps:txbx>
                        <w:txbxContent>
                          <w:p w:rsidR="0058407F" w:rsidRPr="00AC6204" w:rsidRDefault="0058407F" w:rsidP="00760E86">
                            <w:pPr>
                              <w:shd w:val="clear" w:color="auto" w:fill="FFFF00"/>
                              <w:jc w:val="center"/>
                              <w:rPr>
                                <w:b/>
                                <w:color w:val="000000" w:themeColor="text1"/>
                                <w:sz w:val="32"/>
                                <w:szCs w:val="24"/>
                              </w:rPr>
                            </w:pPr>
                            <w:r w:rsidRPr="00AC6204">
                              <w:rPr>
                                <w:b/>
                                <w:color w:val="000000" w:themeColor="text1"/>
                                <w:sz w:val="32"/>
                                <w:szCs w:val="24"/>
                              </w:rPr>
                              <w:t>MISIONALES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CA5B" id="Proceso 9" o:spid="_x0000_s1039" type="#_x0000_t109" style="position:absolute;left:0;text-align:left;margin-left:72.75pt;margin-top:6pt;width:394.5pt;height:26.2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58407F" w:rsidRPr="00AC6204" w:rsidRDefault="0058407F" w:rsidP="00760E86">
                      <w:pPr>
                        <w:shd w:val="clear" w:color="auto" w:fill="FFFF00"/>
                        <w:jc w:val="center"/>
                        <w:rPr>
                          <w:b/>
                          <w:color w:val="000000" w:themeColor="text1"/>
                          <w:sz w:val="32"/>
                          <w:szCs w:val="24"/>
                        </w:rPr>
                      </w:pPr>
                      <w:r w:rsidRPr="00AC6204">
                        <w:rPr>
                          <w:b/>
                          <w:color w:val="000000" w:themeColor="text1"/>
                          <w:sz w:val="32"/>
                          <w:szCs w:val="24"/>
                        </w:rPr>
                        <w:t>MISIONALES</w:t>
                      </w:r>
                    </w:p>
                  </w:txbxContent>
                </v:textbox>
                <w10:wrap anchorx="margin"/>
              </v:shape>
            </w:pict>
          </mc:Fallback>
        </mc:AlternateContent>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1D1397" w:rsidRDefault="001D1397" w:rsidP="008E2108">
      <w:pPr>
        <w:pStyle w:val="Prrafodelista"/>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p>
    <w:p w:rsidR="001D1397" w:rsidRPr="001D1397" w:rsidRDefault="00087AC3" w:rsidP="00760E86">
      <w:pPr>
        <w:pStyle w:val="Prrafodelista"/>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2270ECA8" wp14:editId="06E58033">
            <wp:extent cx="4486275" cy="18120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8861" cy="1821195"/>
                    </a:xfrm>
                    <a:prstGeom prst="rect">
                      <a:avLst/>
                    </a:prstGeom>
                  </pic:spPr>
                </pic:pic>
              </a:graphicData>
            </a:graphic>
          </wp:inline>
        </w:drawing>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760E86" w:rsidRDefault="001D1397" w:rsidP="00760E86">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p>
    <w:p w:rsidR="00760E86" w:rsidRPr="00760E86" w:rsidRDefault="00760E86" w:rsidP="00760E86">
      <w:pPr>
        <w:autoSpaceDE w:val="0"/>
        <w:autoSpaceDN w:val="0"/>
        <w:adjustRightInd w:val="0"/>
        <w:spacing w:after="0" w:line="240" w:lineRule="auto"/>
        <w:rPr>
          <w:rFonts w:ascii="Arial" w:hAnsi="Arial" w:cs="Arial"/>
          <w:b/>
          <w:bCs/>
          <w:color w:val="2F5497"/>
        </w:rPr>
      </w:pPr>
      <w:r w:rsidRPr="00760E86">
        <w:rPr>
          <w:rFonts w:ascii="Arial" w:hAnsi="Arial" w:cs="Arial"/>
          <w:b/>
          <w:bCs/>
          <w:color w:val="2F5497"/>
        </w:rPr>
        <w:t>Proceso</w:t>
      </w:r>
      <w:r>
        <w:rPr>
          <w:rFonts w:ascii="Arial" w:hAnsi="Arial" w:cs="Arial"/>
          <w:b/>
          <w:bCs/>
          <w:color w:val="2F5497"/>
        </w:rPr>
        <w:t xml:space="preserve"> </w:t>
      </w:r>
      <w:r w:rsidRPr="00760E86">
        <w:rPr>
          <w:rFonts w:ascii="Arial" w:hAnsi="Arial" w:cs="Arial"/>
          <w:b/>
          <w:bCs/>
          <w:color w:val="2F5497"/>
        </w:rPr>
        <w:t>Formulación y Adopción de Políticas</w:t>
      </w:r>
    </w:p>
    <w:p w:rsidR="00760E86" w:rsidRDefault="00760E86"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E36710" w:rsidRDefault="00E36710" w:rsidP="00E36710">
      <w:pPr>
        <w:widowControl w:val="0"/>
        <w:spacing w:after="120" w:line="285" w:lineRule="auto"/>
        <w:jc w:val="center"/>
        <w:rPr>
          <w:rFonts w:ascii="Georgia" w:eastAsia="Times New Roman" w:hAnsi="Georgia" w:cs="Times New Roman"/>
          <w:color w:val="000000"/>
          <w:kern w:val="28"/>
          <w:sz w:val="20"/>
          <w:szCs w:val="20"/>
          <w:lang w:eastAsia="es-CO"/>
          <w14:cntxtAlts/>
        </w:rPr>
      </w:pPr>
      <w:r w:rsidRPr="00E36710">
        <w:rPr>
          <w:noProof/>
          <w:lang w:eastAsia="es-CO"/>
        </w:rPr>
        <w:drawing>
          <wp:inline distT="0" distB="0" distL="0" distR="0">
            <wp:extent cx="2295525" cy="2143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E36710" w:rsidRPr="00760E86" w:rsidRDefault="00E36710"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 xml:space="preserve">El proceso de formulación y adopción de políticas es un proceso misional por lo cual el indicador correspondiente al mismo lo envían las direcciones de drogas, política criminal, Justicia transicional, Métodos alternativos, entre otras para el </w:t>
      </w:r>
      <w:r w:rsidR="00E36710">
        <w:rPr>
          <w:rFonts w:ascii="Arial" w:hAnsi="Arial" w:cs="Arial"/>
          <w:color w:val="000000"/>
        </w:rPr>
        <w:t>cuarto trime</w:t>
      </w:r>
      <w:r w:rsidR="0063770C">
        <w:rPr>
          <w:rFonts w:ascii="Arial" w:hAnsi="Arial" w:cs="Arial"/>
          <w:color w:val="000000"/>
        </w:rPr>
        <w:t>stre de 2019</w:t>
      </w:r>
      <w:r w:rsidR="00E36710">
        <w:rPr>
          <w:rFonts w:ascii="Arial" w:hAnsi="Arial" w:cs="Arial"/>
          <w:color w:val="000000"/>
        </w:rPr>
        <w:t xml:space="preserve">, </w:t>
      </w:r>
      <w:r w:rsidRPr="00760E86">
        <w:rPr>
          <w:rFonts w:ascii="Arial" w:hAnsi="Arial" w:cs="Arial"/>
          <w:color w:val="000000"/>
        </w:rPr>
        <w:t>tiene un cumplimiento promedio de 100%.</w:t>
      </w:r>
      <w:r w:rsidR="00E36710">
        <w:rPr>
          <w:rFonts w:ascii="Arial" w:hAnsi="Arial" w:cs="Arial"/>
          <w:color w:val="000000"/>
        </w:rPr>
        <w:t xml:space="preserve">, entre los resultados obtenido por el proceso a nivel de indicadores tenemos: </w:t>
      </w:r>
    </w:p>
    <w:p w:rsidR="009E37F2" w:rsidRDefault="009E37F2" w:rsidP="00760E86">
      <w:pPr>
        <w:pStyle w:val="Prrafodelista"/>
        <w:autoSpaceDE w:val="0"/>
        <w:autoSpaceDN w:val="0"/>
        <w:adjustRightInd w:val="0"/>
        <w:spacing w:after="0" w:line="240" w:lineRule="auto"/>
        <w:jc w:val="both"/>
        <w:rPr>
          <w:rFonts w:ascii="Arial" w:hAnsi="Arial" w:cs="Arial"/>
          <w:color w:val="000000"/>
        </w:rPr>
      </w:pPr>
    </w:p>
    <w:p w:rsidR="009E37F2" w:rsidRDefault="009E37F2" w:rsidP="00760E86">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Primer avance: Una vez aprobada la Política Integral para Enfrentar el Problema de las Drogas  en diciembre de 2018 la Dirección inicia la construcción concertada y articulada así como el seguimiento del Plan de acción de la Política.</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Durante el primer trimestre del año se oficiaron a las entidades líderes en cada uno de los pilares solicitando las acciones, metas, indicadores y presupuestos a incluir por pilar.  Se consolidó la </w:t>
      </w:r>
      <w:r w:rsidRPr="009E37F2">
        <w:rPr>
          <w:rFonts w:ascii="Arial" w:hAnsi="Arial" w:cs="Arial"/>
          <w:color w:val="000000"/>
        </w:rPr>
        <w:lastRenderedPageBreak/>
        <w:t xml:space="preserve">información recibida y se adelantaron reuniones bilaterales para socializar la </w:t>
      </w:r>
      <w:proofErr w:type="spellStart"/>
      <w:r w:rsidRPr="009E37F2">
        <w:rPr>
          <w:rFonts w:ascii="Arial" w:hAnsi="Arial" w:cs="Arial"/>
          <w:color w:val="000000"/>
        </w:rPr>
        <w:t>la</w:t>
      </w:r>
      <w:proofErr w:type="spellEnd"/>
      <w:r w:rsidRPr="009E37F2">
        <w:rPr>
          <w:rFonts w:ascii="Arial" w:hAnsi="Arial" w:cs="Arial"/>
          <w:color w:val="000000"/>
        </w:rPr>
        <w:t xml:space="preserve"> política y aclarar información.</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En la primera semana de abril se socializó la política en el Quinto Encuentro nacional de la Política de Drogas en </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Segundo avance: Para el segundo trimestre de 2019 se realizaron las siguientes actividades con el fin de avanzar en la construcción del Plan de Acción de la Política Ruta Futuro:</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de la política Ruta Futuro con la estrategia disruptiva contra el narcotráfico con la Dirección Especializada contra el Narcotráfico de la Fiscalía General de la Nación.</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el Departamento Nacional de Planeación con la Dirección de Justicia Seguridad y Defensa para el desarrollo de las mesas temáticas y la definición de indicadores de la política de drogas y levantar la estrategia de mesas temáticas por cada pilar de Ruta Futuro y entidades a convocar.</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Se socializo el documento Ruta Futuro en el marco del quinto encuentro nacional sobre la política de drogas en los territorios.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Parques Nacionales Naturales de Colombia para trabajar en la hoja de ruta de intervención en las Zonas de Manejo Especial.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Ministerio de Salud y Protección Social con el fin de alinear la política Ruta Futuro con la Política Integral para la Prevención y Atención del Consumo de Sustancias Psicoactivas.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Socialización de la política Ruta Futuro en escenarios nacionales e interinstitucionales: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Seminario Nacional de Salud Mental, llevado a cabo en la Universidad Católica de Oriente en </w:t>
      </w:r>
      <w:proofErr w:type="spellStart"/>
      <w:r w:rsidRPr="009E37F2">
        <w:rPr>
          <w:rFonts w:ascii="Arial" w:hAnsi="Arial" w:cs="Arial"/>
          <w:color w:val="000000"/>
        </w:rPr>
        <w:t>Rionegro</w:t>
      </w:r>
      <w:proofErr w:type="spellEnd"/>
      <w:r w:rsidRPr="009E37F2">
        <w:rPr>
          <w:rFonts w:ascii="Arial" w:hAnsi="Arial" w:cs="Arial"/>
          <w:color w:val="000000"/>
        </w:rPr>
        <w:t xml:space="preserve">, Antioquia el 24 de mayo de 2019.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Congreso Nacional de Prevención del Consumo de Drogas desde la Educación y la Familia, llevado a cabo el 30 de mayo de 2019 en FENALCO.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Ministerio de Relaciones Exteriores en el marco del II Encuentro de Trabajo en Materia de Drogas Colombia-Uruguay que tuvo lugar en Bogotá, 23 y 24 de mayo de 2019.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Reuniones con los técnicos de Ministerio de Salud y Protección Social con el fin de  alinear la resolución 089 de 2019: Por la cual se adopta la Política Integral para la Prevención y Atención del Consumo de Sustancias Psicoactivas y la Política Integral para Enfrentar el Problema de las Drogas: Ruta Futuro. Se Construyó un documento que pretende alinear la resolución con el pilar N° 1 de Ruta Futuro.</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Participación en la mesa de trabajo del </w:t>
      </w:r>
      <w:proofErr w:type="spellStart"/>
      <w:r w:rsidRPr="009E37F2">
        <w:rPr>
          <w:rFonts w:ascii="Arial" w:hAnsi="Arial" w:cs="Arial"/>
          <w:color w:val="000000"/>
        </w:rPr>
        <w:t>Conpes</w:t>
      </w:r>
      <w:proofErr w:type="spellEnd"/>
      <w:r w:rsidRPr="009E37F2">
        <w:rPr>
          <w:rFonts w:ascii="Arial" w:hAnsi="Arial" w:cs="Arial"/>
          <w:color w:val="000000"/>
        </w:rPr>
        <w:t xml:space="preserve"> de Salud Mental liderado por el Departamento Nacional de Planeación y el Ministerio de Salud y Protección Social, con el fin lograr alineación con la política Ruta Futuro.</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El 17 de junio de 2019, se desarrollaron las primeras mesas temáticas para los pilares 1,2 y 3 de la política Ruta Futuro en el marco de la construcción de su plan de acción. En articulación con el Departamento Nacional de Planeación se llevaron a cabo las siguientes mesas: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21 de junio de 2019: Mesa temática pilar 3 “Desarticular las estructuras criminales” objetivo estratégico 3 – Reducción de los mercados internos de drogas (</w:t>
      </w:r>
      <w:proofErr w:type="spellStart"/>
      <w:r w:rsidRPr="009E37F2">
        <w:rPr>
          <w:rFonts w:ascii="Arial" w:hAnsi="Arial" w:cs="Arial"/>
          <w:color w:val="000000"/>
        </w:rPr>
        <w:t>Microtráfico</w:t>
      </w:r>
      <w:proofErr w:type="spellEnd"/>
      <w:r w:rsidRPr="009E37F2">
        <w:rPr>
          <w:rFonts w:ascii="Arial" w:hAnsi="Arial" w:cs="Arial"/>
          <w:color w:val="000000"/>
        </w:rPr>
        <w:t xml:space="preserve"> y comercialización de drogas). Mesa temática pilar 3 “Desarticular las estructuras criminales” objetivo estratégico 4 – Control estratégico de territorios fronterizos. Mesa temática pilar 2 “Reducir la disponibilidad de drogas” objetivo estratégico 4 – Reducir la disponibilidad de drogas de síntesis y NSP.</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26 de junio de 2019: Mesa temática pilar 2 “Reducir la disponibilidad de drogas” objetivo estratégico 3 – Reducir la producción de drogas mediante el control a las sustancias químicas e infraestructuras de producción.</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lastRenderedPageBreak/>
        <w:t>20 de junio de 2019 – Mesa temática pilar 5: Transversal, punto 5 objetivos estratégicos 1 y 2.</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Junio 26 de 2019: Mesa temática pilar 1: Reducir el consumo de drogas y su impacto. Articulación de la política Ruta Futuro con el </w:t>
      </w:r>
      <w:proofErr w:type="spellStart"/>
      <w:r w:rsidRPr="009E37F2">
        <w:rPr>
          <w:rFonts w:ascii="Arial" w:hAnsi="Arial" w:cs="Arial"/>
          <w:color w:val="000000"/>
        </w:rPr>
        <w:t>conpes</w:t>
      </w:r>
      <w:proofErr w:type="spellEnd"/>
      <w:r w:rsidRPr="009E37F2">
        <w:rPr>
          <w:rFonts w:ascii="Arial" w:hAnsi="Arial" w:cs="Arial"/>
          <w:color w:val="000000"/>
        </w:rPr>
        <w:t xml:space="preserve"> de salud mental y la resolución 089 de 2019 del Ministerio de Salud y Protección Social.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Desarrollo de mesas de trabajo bilaterales para trabajo conjunto con las entidades involucradas en la construcción del plan de acción. Ministerio de Salud y Protección Social, Unidad de Información y Análisis Financiero, Fondo Nacional de Estupefacientes, Consejería Presidencial para la Seguridad Nacional – Estrategia Zonas Estratégicas de Intervención Integral.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Consolidación de las matrices del plan de acción de la política Ruta Futuro en sus pilares 1,2 y 3 de acuerdo con los insumos y acuerdos concertados con las entidades en  las mesas temáticas desarrolladas en el mes de junio 2019.</w:t>
      </w:r>
    </w:p>
    <w:p w:rsid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Mesas de trabajo con la Dirección de Política Criminal del Ministerio de Justicia y del Derecho para el plan de acción del pilar 3 de la política Ruta Futuro.</w:t>
      </w:r>
    </w:p>
    <w:p w:rsidR="009E37F2" w:rsidRDefault="009E37F2" w:rsidP="009E37F2">
      <w:pPr>
        <w:autoSpaceDE w:val="0"/>
        <w:autoSpaceDN w:val="0"/>
        <w:adjustRightInd w:val="0"/>
        <w:spacing w:after="0" w:line="240" w:lineRule="auto"/>
        <w:jc w:val="both"/>
        <w:rPr>
          <w:rFonts w:ascii="Arial" w:hAnsi="Arial" w:cs="Arial"/>
          <w:color w:val="000000"/>
        </w:rPr>
      </w:pPr>
    </w:p>
    <w:p w:rsidR="009E37F2" w:rsidRPr="009E37F2" w:rsidRDefault="009E37F2" w:rsidP="009E37F2">
      <w:pPr>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TERCER AVANCE:</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Mesas temáticas para cada uno de los pilares de Ruta Futuro para la definición concertada de acciones, indicadores, metas, presupuestos y cronogramas.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Dentro de esta misma fase se acompañó la construcción del PEII – Plan Estratégico de Intervención Integral de la zona Pacífico Nariñense.</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Remisión de las matrices construidas en las mesas a todas las entidades para complementar la información pendiente y realizar validación a los diferentes niveles de las entidades y definir cronogramas, presupuestos, e indicadores.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 técnica sobre la generación de condiciones territoriales para impulsar las economías lícitas rurales y urbanas, en un marco de sostenibilidad ambiental.</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Reuniones bilaterales con el Ministerio de Salud y Protección Social para concertar acciones e indicadores en el marco del pilar 1 de la Política Ruta Futuro.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Reuniones bilaterales para el pilar 5 en temas de posicionamiento internacional de la Política y coordinación y articulación institucional.</w:t>
      </w:r>
    </w:p>
    <w:p w:rsidR="009E37F2" w:rsidRDefault="009E37F2" w:rsidP="009E37F2">
      <w:pPr>
        <w:pStyle w:val="Prrafodelista"/>
        <w:autoSpaceDE w:val="0"/>
        <w:autoSpaceDN w:val="0"/>
        <w:adjustRightInd w:val="0"/>
        <w:spacing w:after="0" w:line="240" w:lineRule="auto"/>
        <w:jc w:val="both"/>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Pr>
          <w:rFonts w:ascii="Arial" w:hAnsi="Arial" w:cs="Arial"/>
          <w:color w:val="000000"/>
        </w:rPr>
        <w:t>Adicionalmente</w:t>
      </w:r>
    </w:p>
    <w:p w:rsidR="00F6469B" w:rsidRDefault="00F6469B" w:rsidP="009E37F2">
      <w:pPr>
        <w:pStyle w:val="Prrafodelista"/>
        <w:autoSpaceDE w:val="0"/>
        <w:autoSpaceDN w:val="0"/>
        <w:adjustRightInd w:val="0"/>
        <w:spacing w:after="0" w:line="240" w:lineRule="auto"/>
        <w:jc w:val="both"/>
        <w:rPr>
          <w:rFonts w:ascii="Arial" w:hAnsi="Arial" w:cs="Arial"/>
          <w:color w:val="000000"/>
        </w:rPr>
      </w:pPr>
    </w:p>
    <w:p w:rsidR="00F6469B" w:rsidRPr="00F6469B" w:rsidRDefault="00F6469B" w:rsidP="00F17469">
      <w:pPr>
        <w:pStyle w:val="Prrafodelista"/>
        <w:numPr>
          <w:ilvl w:val="0"/>
          <w:numId w:val="17"/>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En el mes de mayo se aprobó por parte del Viceministerio de Promoción de la Justicia los lineamientos para la incorporación de los enfoques de género y discapacidad en el sector administrativo de justicia. </w:t>
      </w:r>
    </w:p>
    <w:p w:rsidR="00F6469B" w:rsidRPr="00F6469B" w:rsidRDefault="00F6469B" w:rsidP="00F6469B">
      <w:pPr>
        <w:pStyle w:val="Prrafodelista"/>
        <w:autoSpaceDE w:val="0"/>
        <w:autoSpaceDN w:val="0"/>
        <w:adjustRightInd w:val="0"/>
        <w:spacing w:after="0" w:line="240" w:lineRule="auto"/>
        <w:jc w:val="both"/>
        <w:rPr>
          <w:rFonts w:ascii="Arial" w:hAnsi="Arial" w:cs="Arial"/>
          <w:color w:val="000000"/>
        </w:rPr>
      </w:pPr>
    </w:p>
    <w:p w:rsidR="00F6469B" w:rsidRDefault="00F6469B" w:rsidP="00F17469">
      <w:pPr>
        <w:pStyle w:val="Prrafodelista"/>
        <w:numPr>
          <w:ilvl w:val="0"/>
          <w:numId w:val="17"/>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Capítulo Indígena del Plan Decenal (Se encuentra en Consulta Previa).</w:t>
      </w:r>
    </w:p>
    <w:p w:rsidR="0063770C" w:rsidRPr="0063770C" w:rsidRDefault="0063770C" w:rsidP="0063770C">
      <w:pPr>
        <w:pStyle w:val="Prrafodelista"/>
        <w:rPr>
          <w:rFonts w:ascii="Arial" w:hAnsi="Arial" w:cs="Arial"/>
          <w:color w:val="000000"/>
        </w:rPr>
      </w:pPr>
    </w:p>
    <w:p w:rsidR="0063770C" w:rsidRDefault="0063770C" w:rsidP="0063770C">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CUARTO </w:t>
      </w:r>
      <w:r w:rsidRPr="0063770C">
        <w:rPr>
          <w:rFonts w:ascii="Arial" w:hAnsi="Arial" w:cs="Arial"/>
          <w:color w:val="000000"/>
        </w:rPr>
        <w:t>AVANCE:</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Se publicó la guía de atención a mujeres y personas LGBTI en servicios de acceso a la justicia.</w:t>
      </w: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En el mes de Octubre de  2019 Para el mes de octubre de 2019, se realizaron 3 mesas bilaterales con Ministerio de Defensa en el marco de la construcción concertada para el plan de acción de la Política Ruta Futuro en su pila r# 3. Dos mesas bilaterales para el pilar # 1 con el Ministerio de Salud y Protección Social para concertar acciones e indicadores finales.</w:t>
      </w:r>
    </w:p>
    <w:p w:rsidR="0063770C" w:rsidRP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lastRenderedPageBreak/>
        <w:t xml:space="preserve">Dos reuniones bilaterales con la Agencia de Renovación del Territorio en el marco de los Planes de Desarrollo con Enfoque Territorial - PDET. </w:t>
      </w:r>
    </w:p>
    <w:p w:rsidR="0063770C" w:rsidRP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Actualización de la matriz del plan de acción con corte a 30 de octubre de 2019 y presentación del mismo al señor Viceministro de Política Criminal y Justicia Restaurativa el 31 de octubre de 2019. </w:t>
      </w: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Para el mes de noviembre de 2019, se realizó la consolidación final de los reportes de las entidades involucradas en la construcción del plan de acción de la Política Ruta Futuro en especial los indicadores de impacto  construidos en conjunto con el Ministerio de Salud y Protección Social. De igual forma, se prepararon los insumos para la sesión del Consejo Nacional de Estupefacientes el cual estaba programado para el día 26 de noviembre de 2019 y fue postergado para el día 19 de diciembre de 2019: </w:t>
      </w:r>
    </w:p>
    <w:p w:rsidR="0063770C" w:rsidRPr="0063770C" w:rsidRDefault="0063770C" w:rsidP="0063770C">
      <w:pPr>
        <w:pStyle w:val="Prrafodelista"/>
        <w:autoSpaceDE w:val="0"/>
        <w:autoSpaceDN w:val="0"/>
        <w:adjustRightInd w:val="0"/>
        <w:spacing w:after="0" w:line="240" w:lineRule="auto"/>
        <w:ind w:left="1080"/>
        <w:jc w:val="both"/>
        <w:rPr>
          <w:rFonts w:ascii="Arial" w:hAnsi="Arial" w:cs="Arial"/>
          <w:color w:val="000000"/>
        </w:rPr>
      </w:pPr>
    </w:p>
    <w:p w:rsid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r w:rsidRPr="0063770C">
        <w:rPr>
          <w:rFonts w:ascii="Arial" w:hAnsi="Arial" w:cs="Arial"/>
          <w:color w:val="000000"/>
        </w:rPr>
        <w:t xml:space="preserve">1. Presentación para el CNE acerca de los resultados de la formulación del plan de acción de la Política Ruta Futuro.     </w:t>
      </w:r>
    </w:p>
    <w:p w:rsid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r w:rsidRPr="0063770C">
        <w:rPr>
          <w:rFonts w:ascii="Arial" w:hAnsi="Arial" w:cs="Arial"/>
          <w:color w:val="000000"/>
        </w:rPr>
        <w:t>2. Construcción del informe ejecutivo para ser presentado al CNE acerca de los resultados de la formulación del plan de acción de la Política Ruta Futuro.</w:t>
      </w:r>
    </w:p>
    <w:p w:rsidR="0063770C" w:rsidRP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Para el mes de diciembre de 2019, se presentó al Consejo Nacional de Estupefacientes el Plan de Acción de la Política Ruta Futuro para su aprobación. Para esta sesión se consolido una presentación y un informe técnico para ser presentado a los consejeros.  </w:t>
      </w:r>
    </w:p>
    <w:p w:rsidR="0063770C" w:rsidRPr="0063770C" w:rsidRDefault="0063770C" w:rsidP="0063770C">
      <w:pPr>
        <w:autoSpaceDE w:val="0"/>
        <w:autoSpaceDN w:val="0"/>
        <w:adjustRightInd w:val="0"/>
        <w:spacing w:after="0" w:line="240" w:lineRule="auto"/>
        <w:ind w:left="720"/>
        <w:jc w:val="both"/>
        <w:rPr>
          <w:rFonts w:ascii="Arial" w:hAnsi="Arial" w:cs="Arial"/>
          <w:color w:val="000000"/>
        </w:rPr>
      </w:pPr>
    </w:p>
    <w:p w:rsidR="0063770C" w:rsidRDefault="0063770C" w:rsidP="0063770C">
      <w:p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CONCLUSIÓN:</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Se concluye que se cumplió al 100% la formulación del Plan de Acción de la Política Ruta Futuro</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6954C9" w:rsidRPr="006954C9" w:rsidRDefault="006954C9" w:rsidP="006954C9">
      <w:pPr>
        <w:autoSpaceDE w:val="0"/>
        <w:autoSpaceDN w:val="0"/>
        <w:adjustRightInd w:val="0"/>
        <w:spacing w:after="0" w:line="240" w:lineRule="auto"/>
        <w:rPr>
          <w:rFonts w:ascii="Arial" w:hAnsi="Arial" w:cs="Arial"/>
          <w:b/>
          <w:bCs/>
          <w:color w:val="2F5497"/>
        </w:rPr>
      </w:pPr>
      <w:r w:rsidRPr="006954C9">
        <w:rPr>
          <w:rFonts w:ascii="Arial" w:hAnsi="Arial" w:cs="Arial"/>
          <w:b/>
          <w:bCs/>
          <w:color w:val="2F5497"/>
        </w:rPr>
        <w:t>Proceso</w:t>
      </w:r>
      <w:r>
        <w:rPr>
          <w:rFonts w:ascii="Arial" w:hAnsi="Arial" w:cs="Arial"/>
          <w:b/>
          <w:bCs/>
          <w:color w:val="2F5497"/>
        </w:rPr>
        <w:t xml:space="preserve"> </w:t>
      </w:r>
      <w:r w:rsidRPr="006954C9">
        <w:rPr>
          <w:rFonts w:ascii="Arial" w:hAnsi="Arial" w:cs="Arial"/>
          <w:b/>
          <w:bCs/>
          <w:color w:val="2F5497"/>
        </w:rPr>
        <w:t>Diseño de normas</w:t>
      </w:r>
    </w:p>
    <w:p w:rsidR="006954C9" w:rsidRPr="006954C9" w:rsidRDefault="006954C9" w:rsidP="006954C9">
      <w:pPr>
        <w:widowControl w:val="0"/>
        <w:spacing w:after="120" w:line="285" w:lineRule="auto"/>
        <w:rPr>
          <w:rFonts w:ascii="Georgia" w:eastAsia="Times New Roman" w:hAnsi="Georgia" w:cs="Times New Roman"/>
          <w:color w:val="000000"/>
          <w:kern w:val="28"/>
          <w:sz w:val="20"/>
          <w:szCs w:val="20"/>
          <w:lang w:eastAsia="es-CO"/>
          <w14:cntxtAlts/>
        </w:rPr>
      </w:pPr>
      <w:r w:rsidRPr="006954C9">
        <w:rPr>
          <w:rFonts w:ascii="Georgia" w:eastAsia="Times New Roman" w:hAnsi="Georgia" w:cs="Times New Roman"/>
          <w:color w:val="000000"/>
          <w:kern w:val="28"/>
          <w:sz w:val="20"/>
          <w:szCs w:val="20"/>
          <w:lang w:eastAsia="es-CO"/>
          <w14:cntxtAlts/>
        </w:rPr>
        <w:t> </w:t>
      </w:r>
    </w:p>
    <w:p w:rsidR="006954C9" w:rsidRDefault="006954C9" w:rsidP="006954C9">
      <w:pPr>
        <w:autoSpaceDE w:val="0"/>
        <w:autoSpaceDN w:val="0"/>
        <w:adjustRightInd w:val="0"/>
        <w:spacing w:after="0" w:line="240" w:lineRule="auto"/>
        <w:jc w:val="center"/>
        <w:rPr>
          <w:rFonts w:ascii="Arial" w:hAnsi="Arial" w:cs="Arial"/>
          <w:color w:val="000000"/>
        </w:rPr>
      </w:pPr>
      <w:r w:rsidRPr="006954C9">
        <w:rPr>
          <w:noProof/>
          <w:lang w:eastAsia="es-CO"/>
        </w:rPr>
        <w:drawing>
          <wp:inline distT="0" distB="0" distL="0" distR="0">
            <wp:extent cx="2295525" cy="21431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954C9" w:rsidRDefault="006954C9" w:rsidP="006954C9">
      <w:pPr>
        <w:autoSpaceDE w:val="0"/>
        <w:autoSpaceDN w:val="0"/>
        <w:adjustRightInd w:val="0"/>
        <w:spacing w:after="0" w:line="240" w:lineRule="auto"/>
        <w:jc w:val="center"/>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Para el año 2019 la DMASC programó la realización de propuesta de reforma normativa en relación con los Mecanismos Alternativos de Solución de Conflictos. Posteriormente, se determinará si se generarán proyectos de acto administrativo para poder reportar en este indicador.</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Avance consolidado a 30 de septiembre de 2019. </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lastRenderedPageBreak/>
        <w:t xml:space="preserve">El día 2 de abril de 2019 se realizó la instalación de la mesa técnica de expertos en conciliación y arbitraje, con el fin de construir una propuesta de reforma normativa a los Mecanismos Alternativos de Solución de Conflictos. </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Durante los meses de abril, mayo y junio de 2019 se adelantaron varias mesas técnicas en materia de conciliación en derecho, conciliación en equidad y arbitraje, donde se generó propuesta de reforma.</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20 de julio de 2019 la Ministra de Justicia y del Derecho radicó ante el Congreso de la República un proyecto de ley que modifica el Estatuto de Arbitraje Nacional e Internacional (Ley 1563 de 2012) con el fin de impulsar el desarrollo integral de este mecanismo de resolución de conflictos y hacerlo más ágil, transparente y cercano al ciudadano. Esta propuesta normativa es producto de un trabajo colaborativo entre el Ministerio de Justicia y del Derecho y 36 expertos del más alto nivel en la materia, quienes trabajaron ad honorem en la revisión y construcción técnica de un proyecto de ley consensuado.</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9 de agosto de 2019 en Cali, la Viceministra de Promoción de la Justicia presentó ante los directores de los centros de arbitraje del país, árbitros, conciliadores, abogados y estudiantes, el Proyecto de Reforma al Estatuto de Arbitraje Nacional e Internacional que cursa en el Congreso de la República.</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23 de septiembre de 2019 la Viceministra de Promoción de la Justicia lideró la primera jornada de socialización del borrador del proyecto de ajuste normativo a los procedimientos de insolvencia de persona natural no comerciante que busca garantizar niveles más eficientes de calidad, transparencia, imparcialidad y diligencia,  y permitir que la negociación de deudas y la convalidación de acuerdos privados se ajusten a las necesidades de los deudores y sus acreedores.</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De acuerdo a lo registrado en la página web del Senado, el proyecto de ley "mediante el cual se modifica la Ley 1563 de 2012, Estatuto de Arbitraje Nacional e Internacional. [Estatuto de Arbitraje]” se está a la espera de realización de primer debate en Comisión Primera del Senado de la República. </w:t>
      </w:r>
    </w:p>
    <w:p w:rsidR="00F9325E"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Se está preparando proyecto de Ley del Estatuto de Conciliación que relaciona todas las normas que se deben aplicar en esta materia. En la actualidad DMASC viene adelantando la revisión de la propuesta del Estatuto de Conciliación, formulada por el grupo de expertos que convocó el Ministerio de Justicia y del Derecho, cuyo objetivo principal es unificar en una sola ley toda la normatividad existente sobre conciliación extrajudicial en derecho, conciliación en equidad y conciliación contencioso-administrativa, y adicionalmente revisar de manera crítica y técnica aspectos relativos a principios de la conciliación, perfil del conciliador, gratuidad relacionada con el acceso a los servicios de los métodos de resolución de conflictos, cualificación del servidor público, notario y demás particulares, que preste servicios de conciliación o mediación, vigilancia, inspección y control de los centros y entidades avaladas y  estándares mínimos que permitan mejorar la prestación del servicio.</w:t>
      </w:r>
    </w:p>
    <w:p w:rsidR="00F9325E" w:rsidRDefault="00F9325E" w:rsidP="00F9325E">
      <w:pPr>
        <w:autoSpaceDE w:val="0"/>
        <w:autoSpaceDN w:val="0"/>
        <w:adjustRightInd w:val="0"/>
        <w:spacing w:after="0" w:line="240" w:lineRule="auto"/>
        <w:jc w:val="both"/>
        <w:rPr>
          <w:rFonts w:ascii="Arial" w:hAnsi="Arial" w:cs="Arial"/>
          <w:color w:val="000000"/>
        </w:rPr>
      </w:pPr>
    </w:p>
    <w:p w:rsidR="00F9325E" w:rsidRPr="00F9325E" w:rsidRDefault="00F9325E" w:rsidP="00F9325E">
      <w:pPr>
        <w:autoSpaceDE w:val="0"/>
        <w:autoSpaceDN w:val="0"/>
        <w:adjustRightInd w:val="0"/>
        <w:spacing w:after="0" w:line="240" w:lineRule="auto"/>
        <w:rPr>
          <w:rFonts w:ascii="Arial" w:hAnsi="Arial" w:cs="Arial"/>
          <w:b/>
          <w:bCs/>
          <w:color w:val="2F5497"/>
        </w:rPr>
      </w:pPr>
      <w:r w:rsidRPr="00F9325E">
        <w:rPr>
          <w:rFonts w:ascii="Arial" w:hAnsi="Arial" w:cs="Arial"/>
          <w:b/>
          <w:bCs/>
          <w:color w:val="2F5497"/>
        </w:rPr>
        <w:t>Proceso</w:t>
      </w:r>
      <w:r>
        <w:rPr>
          <w:rFonts w:ascii="Arial" w:hAnsi="Arial" w:cs="Arial"/>
          <w:b/>
          <w:bCs/>
          <w:color w:val="2F5497"/>
        </w:rPr>
        <w:t xml:space="preserve"> </w:t>
      </w:r>
      <w:r w:rsidRPr="00F9325E">
        <w:rPr>
          <w:rFonts w:ascii="Arial" w:hAnsi="Arial" w:cs="Arial"/>
          <w:b/>
          <w:bCs/>
          <w:color w:val="2F5497"/>
        </w:rPr>
        <w:t>Aplicación de políticas y/o normas</w:t>
      </w:r>
    </w:p>
    <w:p w:rsidR="00F9325E" w:rsidRPr="00F9325E" w:rsidRDefault="00F9325E" w:rsidP="00F9325E">
      <w:pPr>
        <w:widowControl w:val="0"/>
        <w:spacing w:after="120" w:line="285" w:lineRule="auto"/>
        <w:rPr>
          <w:rFonts w:ascii="Georgia" w:eastAsia="Times New Roman" w:hAnsi="Georgia" w:cs="Times New Roman"/>
          <w:color w:val="000000"/>
          <w:kern w:val="28"/>
          <w:sz w:val="20"/>
          <w:szCs w:val="20"/>
          <w:lang w:eastAsia="es-CO"/>
          <w14:cntxtAlts/>
        </w:rPr>
      </w:pPr>
      <w:r w:rsidRPr="00F9325E">
        <w:rPr>
          <w:rFonts w:ascii="Georgia" w:eastAsia="Times New Roman" w:hAnsi="Georgia" w:cs="Times New Roman"/>
          <w:color w:val="000000"/>
          <w:kern w:val="28"/>
          <w:sz w:val="20"/>
          <w:szCs w:val="20"/>
          <w:lang w:eastAsia="es-CO"/>
          <w14:cntxtAlts/>
        </w:rPr>
        <w:t> </w:t>
      </w:r>
    </w:p>
    <w:p w:rsidR="00F9325E" w:rsidRDefault="00E66D8C" w:rsidP="00E66D8C">
      <w:pPr>
        <w:autoSpaceDE w:val="0"/>
        <w:autoSpaceDN w:val="0"/>
        <w:adjustRightInd w:val="0"/>
        <w:spacing w:after="0" w:line="240" w:lineRule="auto"/>
        <w:jc w:val="center"/>
        <w:rPr>
          <w:rFonts w:ascii="Arial" w:hAnsi="Arial" w:cs="Arial"/>
          <w:color w:val="000000"/>
        </w:rPr>
      </w:pPr>
      <w:r w:rsidRPr="00E66D8C">
        <w:rPr>
          <w:noProof/>
          <w:lang w:eastAsia="es-CO"/>
        </w:rPr>
        <w:lastRenderedPageBreak/>
        <w:drawing>
          <wp:inline distT="0" distB="0" distL="0" distR="0">
            <wp:extent cx="2295525" cy="27146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2714625"/>
                    </a:xfrm>
                    <a:prstGeom prst="rect">
                      <a:avLst/>
                    </a:prstGeom>
                    <a:noFill/>
                    <a:ln>
                      <a:noFill/>
                    </a:ln>
                  </pic:spPr>
                </pic:pic>
              </a:graphicData>
            </a:graphic>
          </wp:inline>
        </w:drawing>
      </w:r>
    </w:p>
    <w:p w:rsidR="00F9325E" w:rsidRDefault="00F9325E" w:rsidP="006954C9">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Durante </w:t>
      </w:r>
      <w:r w:rsidR="00AC252A" w:rsidRPr="00F6469B">
        <w:rPr>
          <w:rFonts w:ascii="Arial" w:hAnsi="Arial" w:cs="Arial"/>
          <w:color w:val="000000"/>
        </w:rPr>
        <w:t>del</w:t>
      </w:r>
      <w:r w:rsidRPr="00F6469B">
        <w:rPr>
          <w:rFonts w:ascii="Arial" w:hAnsi="Arial" w:cs="Arial"/>
          <w:color w:val="000000"/>
        </w:rPr>
        <w:t xml:space="preserve"> año 2019 se tiene programados 6 estudios de los cuales en </w:t>
      </w:r>
      <w:r w:rsidR="00AC252A" w:rsidRPr="00F6469B">
        <w:rPr>
          <w:rFonts w:ascii="Arial" w:hAnsi="Arial" w:cs="Arial"/>
          <w:color w:val="000000"/>
        </w:rPr>
        <w:t>el PRIMER</w:t>
      </w:r>
      <w:r w:rsidRPr="00F6469B">
        <w:rPr>
          <w:rFonts w:ascii="Arial" w:hAnsi="Arial" w:cs="Arial"/>
          <w:color w:val="000000"/>
        </w:rPr>
        <w:t xml:space="preserve"> TRIMESTRE </w:t>
      </w:r>
      <w:r w:rsidR="00AC252A" w:rsidRPr="00F6469B">
        <w:rPr>
          <w:rFonts w:ascii="Arial" w:hAnsi="Arial" w:cs="Arial"/>
          <w:color w:val="000000"/>
        </w:rPr>
        <w:t>DE 2019</w:t>
      </w:r>
      <w:r w:rsidRPr="00F6469B">
        <w:rPr>
          <w:rFonts w:ascii="Arial" w:hAnsi="Arial" w:cs="Arial"/>
          <w:color w:val="000000"/>
        </w:rPr>
        <w:t xml:space="preserve"> se avanzó </w:t>
      </w:r>
      <w:r w:rsidR="00AC252A" w:rsidRPr="00F6469B">
        <w:rPr>
          <w:rFonts w:ascii="Arial" w:hAnsi="Arial" w:cs="Arial"/>
          <w:color w:val="000000"/>
        </w:rPr>
        <w:t>así:</w:t>
      </w:r>
      <w:r w:rsidRPr="00F6469B">
        <w:rPr>
          <w:rFonts w:ascii="Arial" w:hAnsi="Arial" w:cs="Arial"/>
          <w:color w:val="000000"/>
        </w:rPr>
        <w:t xml:space="preserve"> </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Default="00AC252A" w:rsidP="00F6469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F6469B" w:rsidRPr="00F6469B">
        <w:rPr>
          <w:rFonts w:ascii="Arial" w:hAnsi="Arial" w:cs="Arial"/>
          <w:color w:val="000000"/>
        </w:rPr>
        <w:t xml:space="preserve">Censo) </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Censo de Cultivos Ilícitos:   se </w:t>
      </w:r>
      <w:r w:rsidR="00AC252A" w:rsidRPr="00AC252A">
        <w:rPr>
          <w:rFonts w:ascii="Arial" w:hAnsi="Arial" w:cs="Arial"/>
          <w:color w:val="000000"/>
        </w:rPr>
        <w:t>avanzó</w:t>
      </w:r>
      <w:r w:rsidRPr="00AC252A">
        <w:rPr>
          <w:rFonts w:ascii="Arial" w:hAnsi="Arial" w:cs="Arial"/>
          <w:color w:val="000000"/>
        </w:rPr>
        <w:t xml:space="preserve"> en la estructuración de los estudios previos </w:t>
      </w:r>
      <w:r w:rsidR="00AC252A" w:rsidRPr="00AC252A">
        <w:rPr>
          <w:rFonts w:ascii="Arial" w:hAnsi="Arial" w:cs="Arial"/>
          <w:color w:val="000000"/>
        </w:rPr>
        <w:t>para suscribir</w:t>
      </w:r>
      <w:r w:rsidRPr="00AC252A">
        <w:rPr>
          <w:rFonts w:ascii="Arial" w:hAnsi="Arial" w:cs="Arial"/>
          <w:color w:val="000000"/>
        </w:rPr>
        <w:t xml:space="preserve"> </w:t>
      </w:r>
      <w:r w:rsidR="00AC252A" w:rsidRPr="00AC252A">
        <w:rPr>
          <w:rFonts w:ascii="Arial" w:hAnsi="Arial" w:cs="Arial"/>
          <w:color w:val="000000"/>
        </w:rPr>
        <w:t>convenio de</w:t>
      </w:r>
      <w:r w:rsidRPr="00AC252A">
        <w:rPr>
          <w:rFonts w:ascii="Arial" w:hAnsi="Arial" w:cs="Arial"/>
          <w:color w:val="000000"/>
        </w:rPr>
        <w:t xml:space="preserve"> cooperación con UNODC, para el desarrollo del monitoreo de cultivos </w:t>
      </w:r>
      <w:r w:rsidR="00AC252A" w:rsidRPr="00AC252A">
        <w:rPr>
          <w:rFonts w:ascii="Arial" w:hAnsi="Arial" w:cs="Arial"/>
          <w:color w:val="000000"/>
        </w:rPr>
        <w:t>ilícitos</w:t>
      </w:r>
      <w:r w:rsidRPr="00AC252A">
        <w:rPr>
          <w:rFonts w:ascii="Arial" w:hAnsi="Arial" w:cs="Arial"/>
          <w:color w:val="000000"/>
        </w:rPr>
        <w:t xml:space="preserve"> en Colombia </w:t>
      </w: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w:t>
      </w:r>
      <w:r w:rsidR="00AC252A" w:rsidRPr="00AC252A">
        <w:rPr>
          <w:rFonts w:ascii="Arial" w:hAnsi="Arial" w:cs="Arial"/>
          <w:color w:val="000000"/>
        </w:rPr>
        <w:t>Consumo:</w:t>
      </w:r>
      <w:r w:rsidRPr="00AC252A">
        <w:rPr>
          <w:rFonts w:ascii="Arial" w:hAnsi="Arial" w:cs="Arial"/>
          <w:color w:val="000000"/>
        </w:rPr>
        <w:t xml:space="preserve"> Se avanzó en </w:t>
      </w:r>
      <w:r w:rsidR="00AC252A" w:rsidRPr="00AC252A">
        <w:rPr>
          <w:rFonts w:ascii="Arial" w:hAnsi="Arial" w:cs="Arial"/>
          <w:color w:val="000000"/>
        </w:rPr>
        <w:t>la elaboración</w:t>
      </w:r>
      <w:r w:rsidRPr="00AC252A">
        <w:rPr>
          <w:rFonts w:ascii="Arial" w:hAnsi="Arial" w:cs="Arial"/>
          <w:color w:val="000000"/>
        </w:rPr>
        <w:t xml:space="preserve"> de estudios </w:t>
      </w:r>
      <w:r w:rsidR="00AC252A" w:rsidRPr="00AC252A">
        <w:rPr>
          <w:rFonts w:ascii="Arial" w:hAnsi="Arial" w:cs="Arial"/>
          <w:color w:val="000000"/>
        </w:rPr>
        <w:t>previos</w:t>
      </w:r>
      <w:r w:rsidRPr="00AC252A">
        <w:rPr>
          <w:rFonts w:ascii="Arial" w:hAnsi="Arial" w:cs="Arial"/>
          <w:color w:val="000000"/>
        </w:rPr>
        <w:t xml:space="preserve"> para </w:t>
      </w:r>
      <w:r w:rsidR="00AC252A" w:rsidRPr="00AC252A">
        <w:rPr>
          <w:rFonts w:ascii="Arial" w:hAnsi="Arial" w:cs="Arial"/>
          <w:color w:val="000000"/>
        </w:rPr>
        <w:t>concurso</w:t>
      </w:r>
      <w:r w:rsidRPr="00AC252A">
        <w:rPr>
          <w:rFonts w:ascii="Arial" w:hAnsi="Arial" w:cs="Arial"/>
          <w:color w:val="000000"/>
        </w:rPr>
        <w:t xml:space="preserve"> de méritos que permita la contratación de la encuesta.</w:t>
      </w: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 Cuatro estudios: Esta actividad </w:t>
      </w:r>
      <w:r w:rsidR="00AC252A" w:rsidRPr="00AC252A">
        <w:rPr>
          <w:rFonts w:ascii="Arial" w:hAnsi="Arial" w:cs="Arial"/>
          <w:color w:val="000000"/>
        </w:rPr>
        <w:t>está</w:t>
      </w:r>
      <w:r w:rsidRPr="00AC252A">
        <w:rPr>
          <w:rFonts w:ascii="Arial" w:hAnsi="Arial" w:cs="Arial"/>
          <w:color w:val="000000"/>
        </w:rPr>
        <w:t xml:space="preserve"> proyectada para iniciar en mayo</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AVANCES SEGUNDO TRIMESTRE:</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Censo de Cultivos Ilícitos: Se suscribió convenio de cooperación xxx con UNODC por medio del cual se realizará el monitoreo de cultivos </w:t>
      </w:r>
      <w:r w:rsidR="00AC252A" w:rsidRPr="00AC252A">
        <w:rPr>
          <w:rFonts w:ascii="Arial" w:hAnsi="Arial" w:cs="Arial"/>
          <w:color w:val="000000"/>
        </w:rPr>
        <w:t>ilícitos</w:t>
      </w:r>
      <w:r w:rsidRPr="00AC252A">
        <w:rPr>
          <w:rFonts w:ascii="Arial" w:hAnsi="Arial" w:cs="Arial"/>
          <w:color w:val="000000"/>
        </w:rPr>
        <w:t xml:space="preserve"> en Colombia.</w:t>
      </w: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consumo: se </w:t>
      </w:r>
      <w:r w:rsidR="00AC252A" w:rsidRPr="00AC252A">
        <w:rPr>
          <w:rFonts w:ascii="Arial" w:hAnsi="Arial" w:cs="Arial"/>
          <w:color w:val="000000"/>
        </w:rPr>
        <w:t>cambió</w:t>
      </w:r>
      <w:r w:rsidRPr="00AC252A">
        <w:rPr>
          <w:rFonts w:ascii="Arial" w:hAnsi="Arial" w:cs="Arial"/>
          <w:color w:val="000000"/>
        </w:rPr>
        <w:t xml:space="preserve"> la modalidad de contratación se realizará convenio con DANE para la realización del estudio. Se avanzó en la elaboración de estudios previos para la suscripción del convenio.</w:t>
      </w: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Cuatro estudios: Se presentan avances preliminares de los siguientes estudios; Territorios étnicos afectados por cultivos ilícitos, Usos de combustible en zonas cultivos ilícitos y comercio de sustancias químicas.</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TERCER AVANCE JULIO –AGOSTO </w:t>
      </w:r>
      <w:r w:rsidR="00AC252A">
        <w:rPr>
          <w:rFonts w:ascii="Arial" w:hAnsi="Arial" w:cs="Arial"/>
          <w:color w:val="000000"/>
        </w:rPr>
        <w:t>–</w:t>
      </w:r>
      <w:r w:rsidRPr="00F6469B">
        <w:rPr>
          <w:rFonts w:ascii="Arial" w:hAnsi="Arial" w:cs="Arial"/>
          <w:color w:val="000000"/>
        </w:rPr>
        <w:t xml:space="preserve"> SEPTIEMBRE</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Monitoreo de cultivos ilícitos SIMCI_: El 4 de </w:t>
      </w:r>
      <w:r w:rsidR="00AC252A" w:rsidRPr="00AC252A">
        <w:rPr>
          <w:rFonts w:ascii="Arial" w:hAnsi="Arial" w:cs="Arial"/>
          <w:color w:val="000000"/>
        </w:rPr>
        <w:t>julio se</w:t>
      </w:r>
      <w:r w:rsidRPr="00AC252A">
        <w:rPr>
          <w:rFonts w:ascii="Arial" w:hAnsi="Arial" w:cs="Arial"/>
          <w:color w:val="000000"/>
        </w:rPr>
        <w:t xml:space="preserve"> </w:t>
      </w:r>
      <w:r w:rsidR="00AC252A" w:rsidRPr="00AC252A">
        <w:rPr>
          <w:rFonts w:ascii="Arial" w:hAnsi="Arial" w:cs="Arial"/>
          <w:color w:val="000000"/>
        </w:rPr>
        <w:t>firma el</w:t>
      </w:r>
      <w:r w:rsidRPr="00AC252A">
        <w:rPr>
          <w:rFonts w:ascii="Arial" w:hAnsi="Arial" w:cs="Arial"/>
          <w:color w:val="000000"/>
        </w:rPr>
        <w:t xml:space="preserve"> convenio o 245 con UNODC.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lastRenderedPageBreak/>
        <w:t xml:space="preserve">4. Estudio de análisis del mercado de cemento en Colombia y su relación con el narcotráfico: Se avanza en la implementación del   </w:t>
      </w:r>
      <w:r w:rsidR="00AC252A" w:rsidRPr="00AC252A">
        <w:rPr>
          <w:rFonts w:ascii="Arial" w:hAnsi="Arial" w:cs="Arial"/>
          <w:color w:val="000000"/>
        </w:rPr>
        <w:t>el proceso</w:t>
      </w:r>
      <w:r w:rsidRPr="00AC252A">
        <w:rPr>
          <w:rFonts w:ascii="Arial" w:hAnsi="Arial" w:cs="Arial"/>
          <w:color w:val="000000"/>
        </w:rPr>
        <w:t xml:space="preserve"> metodológico del estudio que finalizará en </w:t>
      </w:r>
      <w:r w:rsidR="00AC252A" w:rsidRPr="00AC252A">
        <w:rPr>
          <w:rFonts w:ascii="Arial" w:hAnsi="Arial" w:cs="Arial"/>
          <w:color w:val="000000"/>
        </w:rPr>
        <w:t>agosto de</w:t>
      </w:r>
      <w:r w:rsidRPr="00AC252A">
        <w:rPr>
          <w:rFonts w:ascii="Arial" w:hAnsi="Arial" w:cs="Arial"/>
          <w:color w:val="000000"/>
        </w:rPr>
        <w:t xml:space="preserv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r w:rsidRPr="00AC252A">
        <w:rPr>
          <w:rFonts w:ascii="Arial" w:hAnsi="Arial" w:cs="Arial"/>
          <w:color w:val="000000"/>
        </w:rPr>
        <w:t>"</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Avance agosto:</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Estudio de Monitoreo de cultivos ilícitos SIMCI: El 1 de agosto se hace el lanzamiento del Estudio SIMCI por parte el Presidente de la República y el 4  de Agosto con las instituciones por parte de la Ministra de Justicia Margarita Cabello.</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análisis del mercado de cemento en Colombia y su relación con el narcotráfico: </w:t>
      </w:r>
      <w:r w:rsidR="00AC252A" w:rsidRPr="00AC252A">
        <w:rPr>
          <w:rFonts w:ascii="Arial" w:hAnsi="Arial" w:cs="Arial"/>
          <w:color w:val="000000"/>
        </w:rPr>
        <w:t>Se presenta</w:t>
      </w:r>
      <w:r w:rsidRPr="00AC252A">
        <w:rPr>
          <w:rFonts w:ascii="Arial" w:hAnsi="Arial" w:cs="Arial"/>
          <w:color w:val="000000"/>
        </w:rPr>
        <w:t xml:space="preserve"> el </w:t>
      </w:r>
      <w:r w:rsidR="00AC252A" w:rsidRPr="00AC252A">
        <w:rPr>
          <w:rFonts w:ascii="Arial" w:hAnsi="Arial" w:cs="Arial"/>
          <w:color w:val="000000"/>
        </w:rPr>
        <w:t>informe final del</w:t>
      </w:r>
      <w:r w:rsidRPr="00AC252A">
        <w:rPr>
          <w:rFonts w:ascii="Arial" w:hAnsi="Arial" w:cs="Arial"/>
          <w:color w:val="000000"/>
        </w:rPr>
        <w:t xml:space="preserve"> </w:t>
      </w:r>
      <w:r w:rsidR="00AC252A" w:rsidRPr="00AC252A">
        <w:rPr>
          <w:rFonts w:ascii="Arial" w:hAnsi="Arial" w:cs="Arial"/>
          <w:color w:val="000000"/>
        </w:rPr>
        <w:t>estudio de</w:t>
      </w:r>
      <w:r w:rsidRPr="00AC252A">
        <w:rPr>
          <w:rFonts w:ascii="Arial" w:hAnsi="Arial" w:cs="Arial"/>
          <w:color w:val="000000"/>
        </w:rPr>
        <w:t xml:space="preserve"> análisis del cemento en Colombia.</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Avance septiembre:</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Monitoreo de cultivos ilícitos SIMCI: A nivel regional se </w:t>
      </w:r>
      <w:r w:rsidR="00AC252A" w:rsidRPr="00AC252A">
        <w:rPr>
          <w:rFonts w:ascii="Arial" w:hAnsi="Arial" w:cs="Arial"/>
          <w:color w:val="000000"/>
        </w:rPr>
        <w:t>hizo una</w:t>
      </w:r>
      <w:r w:rsidRPr="00AC252A">
        <w:rPr>
          <w:rFonts w:ascii="Arial" w:hAnsi="Arial" w:cs="Arial"/>
          <w:color w:val="000000"/>
        </w:rPr>
        <w:t xml:space="preserve"> socialización de los resultados </w:t>
      </w:r>
      <w:r w:rsidR="00AC252A" w:rsidRPr="00AC252A">
        <w:rPr>
          <w:rFonts w:ascii="Arial" w:hAnsi="Arial" w:cs="Arial"/>
          <w:color w:val="000000"/>
        </w:rPr>
        <w:t>mediante una</w:t>
      </w:r>
      <w:r w:rsidRPr="00AC252A">
        <w:rPr>
          <w:rFonts w:ascii="Arial" w:hAnsi="Arial" w:cs="Arial"/>
          <w:color w:val="000000"/>
        </w:rPr>
        <w:t xml:space="preserve"> trasmisión en Facebook </w:t>
      </w:r>
      <w:proofErr w:type="spellStart"/>
      <w:r w:rsidRPr="00AC252A">
        <w:rPr>
          <w:rFonts w:ascii="Arial" w:hAnsi="Arial" w:cs="Arial"/>
          <w:color w:val="000000"/>
        </w:rPr>
        <w:t>live</w:t>
      </w:r>
      <w:proofErr w:type="spellEnd"/>
      <w:r w:rsidRPr="00AC252A">
        <w:rPr>
          <w:rFonts w:ascii="Arial" w:hAnsi="Arial" w:cs="Arial"/>
          <w:color w:val="000000"/>
        </w:rPr>
        <w:t xml:space="preserve"> con 300 asistentes virtuales de las instituciones departamentales el 26 de septiembre.</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análisis del mercado de cemento en Colombia y su relación con el narcotráfico: </w:t>
      </w:r>
      <w:r w:rsidR="00AC252A" w:rsidRPr="00AC252A">
        <w:rPr>
          <w:rFonts w:ascii="Arial" w:hAnsi="Arial" w:cs="Arial"/>
          <w:color w:val="000000"/>
        </w:rPr>
        <w:t>Se hace</w:t>
      </w:r>
      <w:r w:rsidRPr="00AC252A">
        <w:rPr>
          <w:rFonts w:ascii="Arial" w:hAnsi="Arial" w:cs="Arial"/>
          <w:color w:val="000000"/>
        </w:rPr>
        <w:t xml:space="preserve"> la socialización de </w:t>
      </w:r>
      <w:r w:rsidR="00AC252A" w:rsidRPr="00AC252A">
        <w:rPr>
          <w:rFonts w:ascii="Arial" w:hAnsi="Arial" w:cs="Arial"/>
          <w:color w:val="000000"/>
        </w:rPr>
        <w:t>los resultados</w:t>
      </w:r>
      <w:r w:rsidRPr="00AC252A">
        <w:rPr>
          <w:rFonts w:ascii="Arial" w:hAnsi="Arial" w:cs="Arial"/>
          <w:color w:val="000000"/>
        </w:rPr>
        <w:t xml:space="preserve"> en la SEA. </w:t>
      </w:r>
    </w:p>
    <w:p w:rsid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r w:rsidRPr="00AC252A">
        <w:rPr>
          <w:rFonts w:ascii="Arial" w:hAnsi="Arial" w:cs="Arial"/>
          <w:color w:val="000000"/>
        </w:rPr>
        <w:t>.</w:t>
      </w:r>
    </w:p>
    <w:p w:rsidR="00863EC3" w:rsidRDefault="00863EC3" w:rsidP="00863EC3">
      <w:pPr>
        <w:autoSpaceDE w:val="0"/>
        <w:autoSpaceDN w:val="0"/>
        <w:adjustRightInd w:val="0"/>
        <w:spacing w:after="0" w:line="240" w:lineRule="auto"/>
        <w:jc w:val="both"/>
        <w:rPr>
          <w:rFonts w:ascii="Arial" w:hAnsi="Arial" w:cs="Arial"/>
          <w:color w:val="000000"/>
        </w:rPr>
      </w:pPr>
    </w:p>
    <w:p w:rsidR="00F967DE" w:rsidRPr="00F967DE" w:rsidRDefault="00863EC3" w:rsidP="00F967DE">
      <w:pPr>
        <w:autoSpaceDE w:val="0"/>
        <w:autoSpaceDN w:val="0"/>
        <w:adjustRightInd w:val="0"/>
        <w:spacing w:after="0" w:line="240" w:lineRule="auto"/>
        <w:jc w:val="both"/>
        <w:rPr>
          <w:rFonts w:ascii="Arial" w:hAnsi="Arial" w:cs="Arial"/>
          <w:color w:val="000000"/>
        </w:rPr>
      </w:pPr>
      <w:r w:rsidRPr="00863EC3">
        <w:rPr>
          <w:rFonts w:ascii="Arial" w:hAnsi="Arial" w:cs="Arial"/>
          <w:color w:val="000000"/>
        </w:rPr>
        <w:t>CUARTO AVANCE</w:t>
      </w:r>
      <w:r w:rsidR="00F967DE">
        <w:rPr>
          <w:rFonts w:ascii="Arial" w:hAnsi="Arial" w:cs="Arial"/>
          <w:color w:val="000000"/>
        </w:rPr>
        <w:t xml:space="preserve"> </w:t>
      </w:r>
      <w:r w:rsidR="00F967DE" w:rsidRPr="00F967DE">
        <w:rPr>
          <w:rFonts w:ascii="Arial" w:hAnsi="Arial" w:cs="Arial"/>
          <w:color w:val="000000"/>
        </w:rPr>
        <w:t>–</w:t>
      </w:r>
      <w:r w:rsidR="00F967DE">
        <w:rPr>
          <w:rFonts w:ascii="Arial" w:hAnsi="Arial" w:cs="Arial"/>
          <w:color w:val="000000"/>
        </w:rPr>
        <w:t xml:space="preserve"> OCTUBRE</w:t>
      </w:r>
      <w:r w:rsidR="00F967DE" w:rsidRPr="00F967DE">
        <w:rPr>
          <w:rFonts w:ascii="Arial" w:hAnsi="Arial" w:cs="Arial"/>
          <w:color w:val="000000"/>
        </w:rPr>
        <w:t xml:space="preserve"> – </w:t>
      </w:r>
      <w:r w:rsidR="00F967DE">
        <w:rPr>
          <w:rFonts w:ascii="Arial" w:hAnsi="Arial" w:cs="Arial"/>
          <w:color w:val="000000"/>
        </w:rPr>
        <w:t>DIECIEMBRE</w:t>
      </w:r>
    </w:p>
    <w:p w:rsidR="00863EC3" w:rsidRPr="00863EC3" w:rsidRDefault="00863EC3" w:rsidP="00863EC3">
      <w:pPr>
        <w:autoSpaceDE w:val="0"/>
        <w:autoSpaceDN w:val="0"/>
        <w:adjustRightInd w:val="0"/>
        <w:spacing w:after="0" w:line="240" w:lineRule="auto"/>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 xml:space="preserve"> </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 xml:space="preserve">Avance Octubre: </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1. Se  hizo la actualización Información estadística de  resultados operacionales contra el narcotráfico  a 30 de septiembre http://www.odc.gov.co/sidco</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2. Se publicó el documento para comentarios - Análisis de variables asociadas con el consumo de sustancias psicoactivas ilícitas en población escolar</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http://www.odc.gov.co/PUBLICACIONES/ArtMID/4214/ArticleID/6206/DOCUMENTO-PARA-COMENTARIOS-An225lisis-de-variables-asociadas-con-el-consumo-de-sustancias-psicoactivas-il237citas-en-poblaci243n-escolar</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Avance Noviembre</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lastRenderedPageBreak/>
        <w:t>1. Se  hizo la actualización Información estadística de  resultados operacionales contra el narcotráfico  a 31 de octubre http://www.odc.gov.co/sidco</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Avance Diciembre</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1. Se  hizo la actualización Información estadística de  resultados operacionales contra el narcotráfico  a 30 de noviembre http://www.odc.gov.co/sidco</w:t>
      </w:r>
    </w:p>
    <w:p w:rsidR="00863EC3" w:rsidRPr="00863EC3" w:rsidRDefault="00863EC3" w:rsidP="00863EC3">
      <w:pPr>
        <w:autoSpaceDE w:val="0"/>
        <w:autoSpaceDN w:val="0"/>
        <w:adjustRightInd w:val="0"/>
        <w:spacing w:after="0" w:line="240" w:lineRule="auto"/>
        <w:jc w:val="both"/>
        <w:rPr>
          <w:rFonts w:ascii="Arial" w:hAnsi="Arial" w:cs="Arial"/>
          <w:color w:val="000000"/>
        </w:rPr>
      </w:pPr>
    </w:p>
    <w:p w:rsidR="00AC252A" w:rsidRPr="00AC252A" w:rsidRDefault="00AC252A" w:rsidP="00AC252A">
      <w:pPr>
        <w:autoSpaceDE w:val="0"/>
        <w:autoSpaceDN w:val="0"/>
        <w:adjustRightInd w:val="0"/>
        <w:spacing w:after="0" w:line="240" w:lineRule="auto"/>
        <w:jc w:val="both"/>
        <w:rPr>
          <w:rFonts w:ascii="Arial" w:hAnsi="Arial" w:cs="Arial"/>
          <w:color w:val="000000"/>
        </w:rPr>
      </w:pPr>
    </w:p>
    <w:p w:rsidR="00E81E5A" w:rsidRDefault="00AC252A" w:rsidP="00D14F0F">
      <w:pPr>
        <w:spacing w:after="0" w:line="240" w:lineRule="auto"/>
        <w:jc w:val="both"/>
        <w:rPr>
          <w:rFonts w:ascii="Arial" w:hAnsi="Arial" w:cs="Arial"/>
          <w:b/>
          <w:color w:val="000000"/>
        </w:rPr>
      </w:pPr>
      <w:r w:rsidRPr="00AC252A">
        <w:rPr>
          <w:rFonts w:ascii="Arial" w:hAnsi="Arial" w:cs="Arial"/>
          <w:b/>
          <w:color w:val="000000"/>
        </w:rPr>
        <w:t>Actualización Y Publicación De Información Oficial Sobre Drogas En El Portal Del Observatorio De Drogas De Colombi</w:t>
      </w:r>
      <w:r>
        <w:rPr>
          <w:rFonts w:ascii="Arial" w:hAnsi="Arial" w:cs="Arial"/>
          <w:b/>
          <w:color w:val="000000"/>
        </w:rPr>
        <w:t>ano:</w:t>
      </w:r>
    </w:p>
    <w:p w:rsidR="00AC252A" w:rsidRDefault="00AC252A" w:rsidP="00D14F0F">
      <w:pPr>
        <w:spacing w:after="0" w:line="240" w:lineRule="auto"/>
        <w:jc w:val="both"/>
        <w:rPr>
          <w:rFonts w:ascii="Arial" w:hAnsi="Arial" w:cs="Arial"/>
          <w:b/>
          <w:color w:val="000000"/>
        </w:rPr>
      </w:pPr>
    </w:p>
    <w:p w:rsidR="00AC252A" w:rsidRPr="00AC252A" w:rsidRDefault="00AC252A" w:rsidP="00AC252A">
      <w:pPr>
        <w:spacing w:after="0" w:line="240" w:lineRule="auto"/>
        <w:jc w:val="both"/>
        <w:rPr>
          <w:rFonts w:ascii="Arial" w:hAnsi="Arial" w:cs="Arial"/>
          <w:color w:val="000000"/>
        </w:rPr>
      </w:pPr>
      <w:r>
        <w:rPr>
          <w:rFonts w:ascii="Arial" w:hAnsi="Arial" w:cs="Arial"/>
          <w:color w:val="000000"/>
        </w:rPr>
        <w:t>D</w:t>
      </w:r>
      <w:r w:rsidRPr="00AC252A">
        <w:rPr>
          <w:rFonts w:ascii="Arial" w:hAnsi="Arial" w:cs="Arial"/>
          <w:color w:val="000000"/>
        </w:rPr>
        <w:t>urante el primer trimestre se realizaron las siguientes publicaciones y/o actualizaciones: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Por solicitud del equipo técnico de la Subdirección Estratégica y de Análisis se publicaron los siguientes documentos en el portal web el ODC: </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Informe sobre el consumo de drogas en las Américas, 2015 - Comisión Interamericana para el Control del Abuso de Drogas.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http://www.odc.gov.co/Portals/1/publicaciones/pdf/internacionales/UsoDrogasAmericas_SPA_web.pdf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Informe sobre el consumo de drogas en las Américas 2019</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http://www.odc.gov.co/Portals/1/publicaciones/pdf/internacionales/Informe_sobre_el_consumo_de_drogas_en_las_Am%C3%A9ricas_2019.pdf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Resolución 089 de 2019 Política Integral para la Prevención y Atención al Consumo de Sustancias Psicoactivas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http://www.odc.gov.co/Portals/1/publicaciones/pdf/consumo/politica-consumo/089_dopta_politica_integral_para_prevencion_y_atencion_del_consumo_de_sustancias_psicoactivas.pdf</w:t>
      </w:r>
    </w:p>
    <w:p w:rsidR="00AC252A" w:rsidRPr="00AC252A" w:rsidRDefault="00AC252A" w:rsidP="00AC252A">
      <w:pPr>
        <w:spacing w:after="0" w:line="240" w:lineRule="auto"/>
        <w:jc w:val="both"/>
        <w:rPr>
          <w:rFonts w:ascii="Arial" w:hAnsi="Arial" w:cs="Arial"/>
          <w:color w:val="000000"/>
          <w:lang w:val="en-US"/>
        </w:rPr>
      </w:pPr>
      <w:r w:rsidRPr="00AC252A">
        <w:rPr>
          <w:rFonts w:ascii="Arial" w:hAnsi="Arial" w:cs="Arial"/>
          <w:color w:val="000000"/>
          <w:lang w:val="en-US"/>
        </w:rPr>
        <w:t>• European drug prevention quality standards</w:t>
      </w:r>
    </w:p>
    <w:p w:rsidR="00AC252A" w:rsidRPr="00AC252A" w:rsidRDefault="00AC252A" w:rsidP="00AC252A">
      <w:pPr>
        <w:spacing w:after="0" w:line="240" w:lineRule="auto"/>
        <w:jc w:val="both"/>
        <w:rPr>
          <w:rFonts w:ascii="Arial" w:hAnsi="Arial" w:cs="Arial"/>
          <w:color w:val="000000"/>
          <w:lang w:val="en-US"/>
        </w:rPr>
      </w:pPr>
      <w:r w:rsidRPr="00AC252A">
        <w:rPr>
          <w:rFonts w:ascii="Arial" w:hAnsi="Arial" w:cs="Arial"/>
          <w:color w:val="000000"/>
          <w:lang w:val="en-US"/>
        </w:rPr>
        <w:t>http://www.odc.gov.co/Portals/1/publicaciones/pdf/consumo/recursos/European_drug_prevention_quiality_standards_-_EMCDDA.pdf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Estándares internacionales para la prevención del uso de drogas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http://www.odc.gov.co/Portals/1/publicaciones/pdf/consumo/recursos/Est%C3%A1ndares_Internacionales_para_la_Prevenci%C3%B3n_del_uso_de_drogas.pdSEGUNDO AVANCE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Durante el segundo trimestre se realizaron las siguientes publicaciones y/o actualizaciones: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•Actualización de la información de resultados operacionales de la fuerza pública contra el Narcotráfico, información con corte a 31 de mayo de 2019. Consulta disponible en el siguiente enlace del ODC: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Creación </w:t>
      </w:r>
      <w:r>
        <w:rPr>
          <w:rFonts w:ascii="Arial" w:hAnsi="Arial" w:cs="Arial"/>
          <w:color w:val="000000"/>
        </w:rPr>
        <w:t xml:space="preserve">de la página con contenido del </w:t>
      </w:r>
      <w:r w:rsidRPr="00AC252A">
        <w:rPr>
          <w:rFonts w:ascii="Arial" w:hAnsi="Arial" w:cs="Arial"/>
          <w:color w:val="000000"/>
        </w:rPr>
        <w:t>"Quinto encuentro nacional sobre la política de drogas en territorios" en portal Web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http://www.odc.gov.co/V_Encuentro_Nacional_Pol%C3%ADtica_Drogas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El contratista realizó las gestiones correspondientes para la publicación de los siguientes documentos en el portal web del ODC:</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Caracterización </w:t>
      </w:r>
      <w:proofErr w:type="spellStart"/>
      <w:r w:rsidRPr="00AC252A">
        <w:rPr>
          <w:rFonts w:ascii="Arial" w:hAnsi="Arial" w:cs="Arial"/>
          <w:color w:val="000000"/>
        </w:rPr>
        <w:t>agrocultural</w:t>
      </w:r>
      <w:proofErr w:type="spellEnd"/>
      <w:r w:rsidRPr="00AC252A">
        <w:rPr>
          <w:rFonts w:ascii="Arial" w:hAnsi="Arial" w:cs="Arial"/>
          <w:color w:val="000000"/>
        </w:rPr>
        <w:t xml:space="preserve"> del cultivo de amapola y de los territorios afectados.pdf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http://www.odc.gov.co/Portals/1/publicaciones/pdf/oferta/estudios/Caracterizaci%C3%B3n%20agrocultural%20del%20cultivo%20de%20amapola%20y%20de%20los%20territorios%20afectados.pdf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del módulo de alertas del SAT.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http://www.odc.gov.co/SAT/ALERTAS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Publicación del Primer Estudio de consumo de sustancias psicoactivas en la población escolar del Departamento de </w:t>
      </w:r>
      <w:r w:rsidR="00E66D8C" w:rsidRPr="00AC252A">
        <w:rPr>
          <w:rFonts w:ascii="Arial" w:hAnsi="Arial" w:cs="Arial"/>
          <w:color w:val="000000"/>
        </w:rPr>
        <w:t>Putumayo en</w:t>
      </w:r>
      <w:r w:rsidRPr="00AC252A">
        <w:rPr>
          <w:rFonts w:ascii="Arial" w:hAnsi="Arial" w:cs="Arial"/>
          <w:color w:val="000000"/>
        </w:rPr>
        <w:t xml:space="preserve"> el portal web del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http://www.odc.gov.co/Portals/1/publicaciones/Est_consumo_de_sustancias_Putumayo_2018.pdf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del documento+</w:t>
      </w:r>
      <w:r w:rsidR="00E66D8C" w:rsidRPr="00AC252A">
        <w:rPr>
          <w:rFonts w:ascii="Arial" w:hAnsi="Arial" w:cs="Arial"/>
          <w:color w:val="000000"/>
        </w:rPr>
        <w:t xml:space="preserve">M1048576 </w:t>
      </w:r>
      <w:proofErr w:type="spellStart"/>
      <w:r w:rsidR="00E66D8C" w:rsidRPr="00AC252A">
        <w:rPr>
          <w:rFonts w:ascii="Arial" w:hAnsi="Arial" w:cs="Arial"/>
          <w:color w:val="000000"/>
        </w:rPr>
        <w:t>Current</w:t>
      </w:r>
      <w:proofErr w:type="spellEnd"/>
      <w:r w:rsidRPr="00AC252A">
        <w:rPr>
          <w:rFonts w:ascii="Arial" w:hAnsi="Arial" w:cs="Arial"/>
          <w:color w:val="000000"/>
        </w:rPr>
        <w:t xml:space="preserve"> NPS </w:t>
      </w:r>
      <w:proofErr w:type="spellStart"/>
      <w:r w:rsidRPr="00AC252A">
        <w:rPr>
          <w:rFonts w:ascii="Arial" w:hAnsi="Arial" w:cs="Arial"/>
          <w:color w:val="000000"/>
        </w:rPr>
        <w:t>Threats</w:t>
      </w:r>
      <w:proofErr w:type="spellEnd"/>
      <w:r w:rsidRPr="00AC252A">
        <w:rPr>
          <w:rFonts w:ascii="Arial" w:hAnsi="Arial" w:cs="Arial"/>
          <w:color w:val="000000"/>
        </w:rPr>
        <w:t xml:space="preserve">, </w:t>
      </w:r>
      <w:proofErr w:type="spellStart"/>
      <w:r w:rsidRPr="00AC252A">
        <w:rPr>
          <w:rFonts w:ascii="Arial" w:hAnsi="Arial" w:cs="Arial"/>
          <w:color w:val="000000"/>
        </w:rPr>
        <w:t>Volume</w:t>
      </w:r>
      <w:proofErr w:type="spellEnd"/>
      <w:r w:rsidRPr="00AC252A">
        <w:rPr>
          <w:rFonts w:ascii="Arial" w:hAnsi="Arial" w:cs="Arial"/>
          <w:color w:val="000000"/>
        </w:rPr>
        <w:t xml:space="preserve"> I, </w:t>
      </w:r>
      <w:proofErr w:type="spellStart"/>
      <w:r w:rsidRPr="00AC252A">
        <w:rPr>
          <w:rFonts w:ascii="Arial" w:hAnsi="Arial" w:cs="Arial"/>
          <w:color w:val="000000"/>
        </w:rPr>
        <w:t>March</w:t>
      </w:r>
      <w:proofErr w:type="spellEnd"/>
      <w:r w:rsidRPr="00AC252A">
        <w:rPr>
          <w:rFonts w:ascii="Arial" w:hAnsi="Arial" w:cs="Arial"/>
          <w:color w:val="000000"/>
        </w:rPr>
        <w:t xml:space="preserve"> 2019 en el portal web del ODC: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http://www.odc.gov.co/Portals/1/publicaciones/pdf/internacionales/CurrentNPSThreats_Web(002).pdf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 </w:t>
      </w:r>
      <w:r w:rsidR="00E66D8C" w:rsidRPr="00AC252A">
        <w:rPr>
          <w:rFonts w:ascii="Arial" w:hAnsi="Arial" w:cs="Arial"/>
          <w:color w:val="000000"/>
        </w:rPr>
        <w:t>la noticia</w:t>
      </w:r>
      <w:r w:rsidRPr="00AC252A">
        <w:rPr>
          <w:rFonts w:ascii="Arial" w:hAnsi="Arial" w:cs="Arial"/>
          <w:color w:val="000000"/>
        </w:rPr>
        <w:t xml:space="preserve">: “Cartagena: un espacio valioso para intercambiar experiencias, logros y desafíos de nuestros observatorios de drogas” en la sección de noticias del ODC.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http://www.odc.gov.co/INICIO/Noticias/ArtMID/2976/ArticleID/6188/%e2%80%9cCartagena-un-espacio-valioso-para-intercambiar-experiencias-logros-y-desaf237os-de-nuestros-observatorios-de-drogas%e2%80%9d-Directora-de-Pol237tica-de-Drogas-del-MinJusticia</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 Publicación Informe Mundial Sobre las Drogas de los siguientes documentos en el portal web del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http://www.odc.gov.co/Portals/1/publicaciones/pdf/internacionales/WDR2019_B1_S.pdf</w:t>
      </w:r>
    </w:p>
    <w:p w:rsidR="00E66D8C" w:rsidRDefault="00E66D8C" w:rsidP="00AC252A">
      <w:pPr>
        <w:spacing w:after="0" w:line="240" w:lineRule="auto"/>
        <w:jc w:val="both"/>
        <w:rPr>
          <w:rFonts w:ascii="Arial" w:hAnsi="Arial" w:cs="Arial"/>
          <w:color w:val="000000"/>
        </w:rPr>
      </w:pPr>
    </w:p>
    <w:p w:rsid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TERCER AVANCE JULIO –AGOSTO </w:t>
      </w:r>
      <w:r w:rsidR="00E66D8C">
        <w:rPr>
          <w:rFonts w:ascii="Arial" w:hAnsi="Arial" w:cs="Arial"/>
          <w:color w:val="000000"/>
        </w:rPr>
        <w:t>–</w:t>
      </w:r>
      <w:r w:rsidRPr="00AC252A">
        <w:rPr>
          <w:rFonts w:ascii="Arial" w:hAnsi="Arial" w:cs="Arial"/>
          <w:color w:val="000000"/>
        </w:rPr>
        <w:t xml:space="preserve"> SEPTIEMBRE</w:t>
      </w:r>
    </w:p>
    <w:p w:rsidR="00E66D8C" w:rsidRPr="00AC252A" w:rsidRDefault="00E66D8C"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Avance julio </w:t>
      </w:r>
    </w:p>
    <w:p w:rsidR="00AC252A" w:rsidRPr="00E66D8C" w:rsidRDefault="00AC252A" w:rsidP="00F17469">
      <w:pPr>
        <w:pStyle w:val="Prrafodelista"/>
        <w:numPr>
          <w:ilvl w:val="0"/>
          <w:numId w:val="24"/>
        </w:numPr>
        <w:spacing w:after="0" w:line="240" w:lineRule="auto"/>
        <w:jc w:val="both"/>
        <w:rPr>
          <w:rFonts w:ascii="Arial" w:hAnsi="Arial" w:cs="Arial"/>
          <w:color w:val="000000"/>
        </w:rPr>
      </w:pPr>
      <w:r w:rsidRPr="00E66D8C">
        <w:rPr>
          <w:rFonts w:ascii="Arial" w:hAnsi="Arial" w:cs="Arial"/>
          <w:color w:val="000000"/>
        </w:rPr>
        <w:t>Información estadística de resultados operacionales contra el narcotráfico a 30 de junio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Avance agosto:</w:t>
      </w:r>
    </w:p>
    <w:p w:rsidR="00AC252A" w:rsidRPr="00AC252A" w:rsidRDefault="00AC252A" w:rsidP="00AC252A">
      <w:pPr>
        <w:spacing w:after="0" w:line="240" w:lineRule="auto"/>
        <w:jc w:val="both"/>
        <w:rPr>
          <w:rFonts w:ascii="Arial" w:hAnsi="Arial" w:cs="Arial"/>
          <w:color w:val="000000"/>
        </w:rPr>
      </w:pPr>
    </w:p>
    <w:p w:rsidR="00AC252A" w:rsidRPr="00E66D8C" w:rsidRDefault="00AC252A" w:rsidP="00F17469">
      <w:pPr>
        <w:pStyle w:val="Prrafodelista"/>
        <w:numPr>
          <w:ilvl w:val="0"/>
          <w:numId w:val="23"/>
        </w:numPr>
        <w:spacing w:after="0" w:line="240" w:lineRule="auto"/>
        <w:jc w:val="both"/>
        <w:rPr>
          <w:rFonts w:ascii="Arial" w:hAnsi="Arial" w:cs="Arial"/>
          <w:color w:val="000000"/>
        </w:rPr>
      </w:pPr>
      <w:r w:rsidRPr="00E66D8C">
        <w:rPr>
          <w:rFonts w:ascii="Arial" w:hAnsi="Arial" w:cs="Arial"/>
          <w:color w:val="000000"/>
        </w:rPr>
        <w:t>Información estadística de resultados operacionales contra el narcotráfico a 31 de julio http://www.odc.gov.co/sidco</w:t>
      </w:r>
    </w:p>
    <w:p w:rsidR="00AC252A" w:rsidRPr="00E66D8C" w:rsidRDefault="00AC252A" w:rsidP="00F17469">
      <w:pPr>
        <w:pStyle w:val="Prrafodelista"/>
        <w:numPr>
          <w:ilvl w:val="0"/>
          <w:numId w:val="23"/>
        </w:numPr>
        <w:spacing w:after="0" w:line="240" w:lineRule="auto"/>
        <w:jc w:val="both"/>
        <w:rPr>
          <w:rFonts w:ascii="Arial" w:hAnsi="Arial" w:cs="Arial"/>
          <w:color w:val="000000"/>
        </w:rPr>
      </w:pPr>
      <w:r w:rsidRPr="00E66D8C">
        <w:rPr>
          <w:rFonts w:ascii="Arial" w:hAnsi="Arial" w:cs="Arial"/>
          <w:color w:val="000000"/>
        </w:rPr>
        <w:t>Se cargó la información de cultivos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Avance septiembre </w:t>
      </w:r>
    </w:p>
    <w:p w:rsidR="00AC252A" w:rsidRPr="00AC252A" w:rsidRDefault="00AC252A" w:rsidP="00AC252A">
      <w:pPr>
        <w:spacing w:after="0" w:line="240" w:lineRule="auto"/>
        <w:jc w:val="both"/>
        <w:rPr>
          <w:rFonts w:ascii="Arial" w:hAnsi="Arial" w:cs="Arial"/>
          <w:color w:val="000000"/>
        </w:rPr>
      </w:pPr>
    </w:p>
    <w:p w:rsidR="00AC252A" w:rsidRPr="00E66D8C" w:rsidRDefault="00AC252A" w:rsidP="00F17469">
      <w:pPr>
        <w:pStyle w:val="Prrafodelista"/>
        <w:numPr>
          <w:ilvl w:val="0"/>
          <w:numId w:val="25"/>
        </w:numPr>
        <w:spacing w:after="0" w:line="240" w:lineRule="auto"/>
        <w:jc w:val="both"/>
        <w:rPr>
          <w:rFonts w:ascii="Arial" w:hAnsi="Arial" w:cs="Arial"/>
          <w:color w:val="000000"/>
        </w:rPr>
      </w:pPr>
      <w:r w:rsidRPr="00E66D8C">
        <w:rPr>
          <w:rFonts w:ascii="Arial" w:hAnsi="Arial" w:cs="Arial"/>
          <w:color w:val="000000"/>
        </w:rPr>
        <w:t>Se hizo la actualización Información estadística de resultados operacionales contra el narcotráfico a 31 de agosto http://www.odc.gov.co/sidco</w:t>
      </w:r>
    </w:p>
    <w:p w:rsidR="00AC252A" w:rsidRDefault="00AC252A" w:rsidP="00F17469">
      <w:pPr>
        <w:pStyle w:val="Prrafodelista"/>
        <w:numPr>
          <w:ilvl w:val="0"/>
          <w:numId w:val="25"/>
        </w:numPr>
        <w:spacing w:after="0" w:line="240" w:lineRule="auto"/>
        <w:jc w:val="both"/>
        <w:rPr>
          <w:rFonts w:ascii="Arial" w:hAnsi="Arial" w:cs="Arial"/>
          <w:color w:val="000000"/>
        </w:rPr>
      </w:pPr>
      <w:r w:rsidRPr="00E66D8C">
        <w:rPr>
          <w:rFonts w:ascii="Arial" w:hAnsi="Arial" w:cs="Arial"/>
          <w:color w:val="000000"/>
        </w:rPr>
        <w:t xml:space="preserve">Se actualizó la sección de política de portal web </w:t>
      </w:r>
      <w:hyperlink r:id="rId22" w:history="1">
        <w:r w:rsidR="00863EC3" w:rsidRPr="0074646E">
          <w:rPr>
            <w:rStyle w:val="Hipervnculo"/>
            <w:rFonts w:ascii="Arial" w:hAnsi="Arial" w:cs="Arial"/>
          </w:rPr>
          <w:t>http://www.odc.gov.co/POL%C3%8DTICA1</w:t>
        </w:r>
      </w:hyperlink>
    </w:p>
    <w:p w:rsidR="00863EC3" w:rsidRDefault="00863EC3" w:rsidP="00863EC3">
      <w:pPr>
        <w:pStyle w:val="Prrafodelista"/>
        <w:spacing w:after="0" w:line="240" w:lineRule="auto"/>
        <w:ind w:left="1080"/>
        <w:jc w:val="both"/>
        <w:rPr>
          <w:rFonts w:ascii="Arial" w:hAnsi="Arial" w:cs="Arial"/>
          <w:color w:val="000000"/>
        </w:rPr>
      </w:pPr>
    </w:p>
    <w:p w:rsid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AVANCE CUARTO TRIMESTRE - OCTUBRE - DICIEMBRE</w:t>
      </w:r>
    </w:p>
    <w:p w:rsidR="00863EC3" w:rsidRPr="00863EC3" w:rsidRDefault="00863EC3" w:rsidP="00863EC3">
      <w:pPr>
        <w:spacing w:after="0" w:line="240" w:lineRule="auto"/>
        <w:jc w:val="both"/>
        <w:rPr>
          <w:rFonts w:ascii="Arial" w:hAnsi="Arial" w:cs="Arial"/>
          <w:color w:val="000000"/>
        </w:rPr>
      </w:pPr>
    </w:p>
    <w:p w:rsidR="00863EC3" w:rsidRDefault="00863EC3" w:rsidP="00863EC3">
      <w:pPr>
        <w:spacing w:after="0" w:line="240" w:lineRule="auto"/>
        <w:jc w:val="both"/>
        <w:rPr>
          <w:rFonts w:ascii="Arial" w:hAnsi="Arial" w:cs="Arial"/>
          <w:color w:val="000000"/>
        </w:rPr>
      </w:pPr>
      <w:r w:rsidRPr="00863EC3">
        <w:rPr>
          <w:rFonts w:ascii="Arial" w:hAnsi="Arial" w:cs="Arial"/>
          <w:color w:val="000000"/>
        </w:rPr>
        <w:t>Se realizaron 5 estudios</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 xml:space="preserve">Análisis de variables asociadas con el consumo de sustancias psicoactivas ilícitas en población escolar - Publicado en el portal web del ODC </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lastRenderedPageBreak/>
        <w:t>http://www.odc.gov.co/Portals/1/publicaciones/pdf/consumo/estudios/100919%20Documento%20An%C3%A1lisis%20variables%20asociadas%20con%20el%20consumo%20de%20sustancias%20il%C3%ADcitas%20en%20poblaci%C3%B3n%20escolar.pdf</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Se culminó la ejecución del operativo de campo del Realizar el Estudio Nacional de Consumo de sustancias psicoactivas 2019</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http://www.odc.gov.co/Portals/1/publicaciones/images/oferta/censos/MON%20D%20CULT%20baja%202018%2002%20AGO%2020-35_BAJA.pdf</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 xml:space="preserve">Estudio de Sistemas de supervisión ALA/CFT </w:t>
      </w:r>
      <w:proofErr w:type="gramStart"/>
      <w:r w:rsidRPr="00863EC3">
        <w:rPr>
          <w:rFonts w:ascii="Arial" w:hAnsi="Arial" w:cs="Arial"/>
          <w:color w:val="000000"/>
        </w:rPr>
        <w:t xml:space="preserve">( </w:t>
      </w:r>
      <w:proofErr w:type="spellStart"/>
      <w:r w:rsidRPr="00863EC3">
        <w:rPr>
          <w:rFonts w:ascii="Arial" w:hAnsi="Arial" w:cs="Arial"/>
          <w:color w:val="000000"/>
        </w:rPr>
        <w:t>antilavado</w:t>
      </w:r>
      <w:proofErr w:type="spellEnd"/>
      <w:proofErr w:type="gramEnd"/>
      <w:r w:rsidRPr="00863EC3">
        <w:rPr>
          <w:rFonts w:ascii="Arial" w:hAnsi="Arial" w:cs="Arial"/>
          <w:color w:val="000000"/>
        </w:rPr>
        <w:t xml:space="preserve"> de activos y contra la financiación de terrorismo) – efectividad, dificultades y retos. </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Estudio de Análisis del mercado de cemento en Colombia y su relación con el narcotráfico - documento restringido</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Estudio de Afectación por cultivos ilícitos en territorios indígenas y consejos comunitarios.</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Default="00863EC3" w:rsidP="00863EC3">
      <w:pPr>
        <w:spacing w:after="0" w:line="240" w:lineRule="auto"/>
        <w:jc w:val="both"/>
        <w:rPr>
          <w:rFonts w:ascii="Arial" w:hAnsi="Arial" w:cs="Arial"/>
          <w:color w:val="000000"/>
        </w:rPr>
      </w:pPr>
    </w:p>
    <w:p w:rsidR="00AC252A" w:rsidRDefault="00AC252A" w:rsidP="00D14F0F">
      <w:pPr>
        <w:spacing w:after="0" w:line="240" w:lineRule="auto"/>
        <w:jc w:val="both"/>
        <w:rPr>
          <w:rFonts w:ascii="Arial" w:hAnsi="Arial" w:cs="Arial"/>
          <w:b/>
          <w:color w:val="000000"/>
        </w:rPr>
      </w:pPr>
    </w:p>
    <w:p w:rsidR="00AC252A" w:rsidRDefault="00E66D8C" w:rsidP="00D14F0F">
      <w:pPr>
        <w:spacing w:after="0" w:line="240" w:lineRule="auto"/>
        <w:jc w:val="both"/>
        <w:rPr>
          <w:rFonts w:ascii="Arial" w:hAnsi="Arial" w:cs="Arial"/>
          <w:b/>
          <w:color w:val="000000"/>
        </w:rPr>
      </w:pPr>
      <w:r w:rsidRPr="00E66D8C">
        <w:rPr>
          <w:rFonts w:ascii="Arial" w:hAnsi="Arial" w:cs="Arial"/>
          <w:b/>
          <w:color w:val="000000"/>
        </w:rPr>
        <w:t>Asesoramiento técnico a los entes territoriales en la implementación de la política de drogas.</w:t>
      </w:r>
    </w:p>
    <w:p w:rsidR="00E66D8C" w:rsidRPr="00E66D8C" w:rsidRDefault="00E66D8C" w:rsidP="00D14F0F">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Se brinda asesoría y acompañamiento así:</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PRIMER TRIMESTRE (ENERO-MARZO)</w:t>
      </w:r>
    </w:p>
    <w:p w:rsidR="00E66D8C" w:rsidRPr="00E66D8C" w:rsidRDefault="00E66D8C" w:rsidP="00E66D8C">
      <w:pPr>
        <w:spacing w:after="0" w:line="240" w:lineRule="auto"/>
        <w:jc w:val="both"/>
        <w:rPr>
          <w:rFonts w:ascii="Arial" w:hAnsi="Arial" w:cs="Arial"/>
          <w:color w:val="000000"/>
        </w:rPr>
      </w:pPr>
    </w:p>
    <w:p w:rsidR="00E66D8C" w:rsidRDefault="00E66D8C" w:rsidP="00E66D8C">
      <w:pPr>
        <w:pStyle w:val="Prrafodelista"/>
        <w:spacing w:after="0" w:line="240" w:lineRule="auto"/>
        <w:ind w:left="1080"/>
        <w:jc w:val="both"/>
        <w:rPr>
          <w:rFonts w:ascii="Arial" w:hAnsi="Arial" w:cs="Arial"/>
          <w:color w:val="000000"/>
        </w:rPr>
      </w:pPr>
    </w:p>
    <w:p w:rsidR="00E66D8C" w:rsidRPr="00E66D8C" w:rsidRDefault="00E66D8C" w:rsidP="00F17469">
      <w:pPr>
        <w:pStyle w:val="Prrafodelista"/>
        <w:numPr>
          <w:ilvl w:val="0"/>
          <w:numId w:val="26"/>
        </w:numPr>
        <w:spacing w:after="0" w:line="240" w:lineRule="auto"/>
        <w:jc w:val="both"/>
        <w:rPr>
          <w:rFonts w:ascii="Arial" w:hAnsi="Arial" w:cs="Arial"/>
          <w:color w:val="000000"/>
        </w:rPr>
      </w:pPr>
      <w:r w:rsidRPr="00E66D8C">
        <w:rPr>
          <w:rFonts w:ascii="Arial" w:hAnsi="Arial" w:cs="Arial"/>
          <w:color w:val="000000"/>
        </w:rPr>
        <w:t xml:space="preserve">Durante el primer trimestre   no se realizó asesoría técnica toda vez que esta actividad inicia en el segundo trimestre de 2019. </w:t>
      </w:r>
    </w:p>
    <w:p w:rsidR="00E66D8C" w:rsidRDefault="00E66D8C" w:rsidP="00F17469">
      <w:pPr>
        <w:pStyle w:val="Prrafodelista"/>
        <w:numPr>
          <w:ilvl w:val="0"/>
          <w:numId w:val="26"/>
        </w:numPr>
        <w:spacing w:after="0" w:line="240" w:lineRule="auto"/>
        <w:jc w:val="both"/>
        <w:rPr>
          <w:rFonts w:ascii="Arial" w:hAnsi="Arial" w:cs="Arial"/>
          <w:color w:val="000000"/>
        </w:rPr>
      </w:pPr>
      <w:r w:rsidRPr="00E66D8C">
        <w:rPr>
          <w:rFonts w:ascii="Arial" w:hAnsi="Arial" w:cs="Arial"/>
          <w:color w:val="000000"/>
        </w:rPr>
        <w:t>Durante este trimestre se inició la preparación y convocatoria del Encuentro Nacional sobre la Política de Drogas a nivel Territorial a realizarse los días 3-4- 5 de abril, al cual se convocaron delegados del sector salud y gobierno de 32 departamentos y Bogotá, con el objeto de dar a conocer los cinco pilares de la Política Integral de Drogas aprobada en diciembre de 2018,  y establecer un diálogo con las regiones.</w:t>
      </w:r>
    </w:p>
    <w:p w:rsidR="00E66D8C" w:rsidRPr="00E66D8C" w:rsidRDefault="00E66D8C" w:rsidP="00E66D8C">
      <w:pPr>
        <w:pStyle w:val="Prrafodelista"/>
        <w:spacing w:after="0" w:line="240" w:lineRule="auto"/>
        <w:ind w:left="1080"/>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SEGUNDO TRIMESTRE (ABRIL-JUNIO)</w:t>
      </w:r>
    </w:p>
    <w:p w:rsid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Durante el mes de abril y mayo, el Equipo Territorial de la Dirección diseñó y construyó la estrategia de aproximación a los territorios, formulando 3 líneas de trabajo generales (Esta estrategia fue presentada a la Dirección de Política de Drogas):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Articulación institucional</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Gestión de conocimiento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Asistencia Técnica</w:t>
      </w:r>
    </w:p>
    <w:p w:rsid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En el marco de las sesiones de los Consejos Seccionales de Estupefacientes, los miembros del equipo territorial han venido socializando tanto las líneas de trabajo con los territorios, como la Política Integral para enfrentar el problema de las Drogas: “Ruta Futuro”.</w:t>
      </w: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Esto se ha realizado en los siguientes territorios en las fechas de sesión de los Consejos Seccionales de Estupefacientes: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 Risaralda: 2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2. Casanare: 16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3. Cundinamarca: 22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lastRenderedPageBreak/>
        <w:t>4. San Andrés Islas: 7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5. Atlántico: 12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6. Sucre: 21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7. Norte de Santander: 25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8. Cundinamarca: 26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9.  Arauca: 27 junio     </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TERCER TRIMESTRE (JULIO-SEPTIEMBRE)</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Durante el tercer trimestre el Equipo Territorial avanzó en la presentación de los lineamientos de la política integral para enfrentar el problema de las drogas: Ruta Futuro, en los siguientes territorios: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w:t>
      </w:r>
      <w:r w:rsidRPr="00E66D8C">
        <w:rPr>
          <w:rFonts w:ascii="Arial" w:hAnsi="Arial" w:cs="Arial"/>
          <w:color w:val="000000"/>
        </w:rPr>
        <w:tab/>
        <w:t>Santander: 4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2.</w:t>
      </w:r>
      <w:r w:rsidRPr="00E66D8C">
        <w:rPr>
          <w:rFonts w:ascii="Arial" w:hAnsi="Arial" w:cs="Arial"/>
          <w:color w:val="000000"/>
        </w:rPr>
        <w:tab/>
        <w:t xml:space="preserve">Buenaventura: 4 de julio </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3.</w:t>
      </w:r>
      <w:r w:rsidRPr="00E66D8C">
        <w:rPr>
          <w:rFonts w:ascii="Arial" w:hAnsi="Arial" w:cs="Arial"/>
          <w:color w:val="000000"/>
        </w:rPr>
        <w:tab/>
        <w:t>Caquetá: 9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4.</w:t>
      </w:r>
      <w:r w:rsidRPr="00E66D8C">
        <w:rPr>
          <w:rFonts w:ascii="Arial" w:hAnsi="Arial" w:cs="Arial"/>
          <w:color w:val="000000"/>
        </w:rPr>
        <w:tab/>
        <w:t>Nariño: 10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5.</w:t>
      </w:r>
      <w:r w:rsidRPr="00E66D8C">
        <w:rPr>
          <w:rFonts w:ascii="Arial" w:hAnsi="Arial" w:cs="Arial"/>
          <w:color w:val="000000"/>
        </w:rPr>
        <w:tab/>
        <w:t>Magdalena: 15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6.</w:t>
      </w:r>
      <w:r w:rsidRPr="00E66D8C">
        <w:rPr>
          <w:rFonts w:ascii="Arial" w:hAnsi="Arial" w:cs="Arial"/>
          <w:color w:val="000000"/>
        </w:rPr>
        <w:tab/>
        <w:t>Putumayo: 24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7.</w:t>
      </w:r>
      <w:r w:rsidRPr="00E66D8C">
        <w:rPr>
          <w:rFonts w:ascii="Arial" w:hAnsi="Arial" w:cs="Arial"/>
          <w:color w:val="000000"/>
        </w:rPr>
        <w:tab/>
        <w:t>Bogotá: 25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8.</w:t>
      </w:r>
      <w:r w:rsidRPr="00E66D8C">
        <w:rPr>
          <w:rFonts w:ascii="Arial" w:hAnsi="Arial" w:cs="Arial"/>
          <w:color w:val="000000"/>
        </w:rPr>
        <w:tab/>
        <w:t>Cauca: 16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9.</w:t>
      </w:r>
      <w:r w:rsidRPr="00E66D8C">
        <w:rPr>
          <w:rFonts w:ascii="Arial" w:hAnsi="Arial" w:cs="Arial"/>
          <w:color w:val="000000"/>
        </w:rPr>
        <w:tab/>
        <w:t>Caldas: 28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10.</w:t>
      </w:r>
      <w:r w:rsidRPr="00E66D8C">
        <w:rPr>
          <w:rFonts w:ascii="Arial" w:hAnsi="Arial" w:cs="Arial"/>
          <w:color w:val="000000"/>
        </w:rPr>
        <w:tab/>
        <w:t>Quindío: 29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11.</w:t>
      </w:r>
      <w:r w:rsidRPr="00E66D8C">
        <w:rPr>
          <w:rFonts w:ascii="Arial" w:hAnsi="Arial" w:cs="Arial"/>
          <w:color w:val="000000"/>
        </w:rPr>
        <w:tab/>
        <w:t>Bolívar: 5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12.</w:t>
      </w:r>
      <w:r w:rsidRPr="00E66D8C">
        <w:rPr>
          <w:rFonts w:ascii="Arial" w:hAnsi="Arial" w:cs="Arial"/>
          <w:color w:val="000000"/>
        </w:rPr>
        <w:tab/>
        <w:t>Meta: 13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13.</w:t>
      </w:r>
      <w:r w:rsidRPr="00E66D8C">
        <w:rPr>
          <w:rFonts w:ascii="Arial" w:hAnsi="Arial" w:cs="Arial"/>
          <w:color w:val="000000"/>
        </w:rPr>
        <w:tab/>
        <w:t>Cesar: 6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14.</w:t>
      </w:r>
      <w:r w:rsidRPr="00E66D8C">
        <w:rPr>
          <w:rFonts w:ascii="Arial" w:hAnsi="Arial" w:cs="Arial"/>
          <w:color w:val="000000"/>
        </w:rPr>
        <w:tab/>
        <w:t>Boyacá: 12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15.</w:t>
      </w:r>
      <w:r w:rsidRPr="00E66D8C">
        <w:rPr>
          <w:rFonts w:ascii="Arial" w:hAnsi="Arial" w:cs="Arial"/>
          <w:color w:val="000000"/>
        </w:rPr>
        <w:tab/>
        <w:t>Tolima: 16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16.</w:t>
      </w:r>
      <w:r w:rsidRPr="00E66D8C">
        <w:rPr>
          <w:rFonts w:ascii="Arial" w:hAnsi="Arial" w:cs="Arial"/>
          <w:color w:val="000000"/>
        </w:rPr>
        <w:tab/>
        <w:t>La Guajira: 19 de septiembre</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Asimismo, el equipo territorial brindó apoyo durante el desarrollo del "Encuentro Nacional de la Dimensión de Convivencia Social y Salud Mental" liderado por el Ministerio de Salud y Protección Social, entre los días 24 a 27 de septiembre. Durante el evento el equipo territorial, además de conocer las necesidades de los territorios en relación con el pilar 1 de la Ruta Futuro, incorporó en las discusiones de planeación territorial aquellos aspectos que son relevantes considerar para los Planes de Salud Departamental asociados con la prevención del consumo de SPA y su impacto.  </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El Equipo Territorial gestionó frente a la Directora de Política de Drogas y Actividades Relacionadas, que en su calidad de secretaria técnica del Consejo Nacional de Estupefacientes, requiera a los Gobernadores de los 32 departamentos un informe detallado de la implementación del Plan Integral Departamental de Drogas 2016 - 2019. </w:t>
      </w: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En dicha comunicación se dio alcance a la estrategia “Cierre Exitoso de Gobiernos Territoriales” liderada por el Departamento Nacional de Planeación y el Departamento Administrativo de la Función Pública, lanzada oficialmente por el Gobierno Nacional el 9 de julio del presente año con la participación de Gobernadores y Alcalde</w:t>
      </w:r>
      <w:r>
        <w:rPr>
          <w:rFonts w:ascii="Arial" w:hAnsi="Arial" w:cs="Arial"/>
          <w:color w:val="000000"/>
        </w:rPr>
        <w:t>s del país, y del anexo con las o</w:t>
      </w:r>
      <w:r w:rsidRPr="00E66D8C">
        <w:rPr>
          <w:rFonts w:ascii="Arial" w:hAnsi="Arial" w:cs="Arial"/>
          <w:color w:val="000000"/>
        </w:rPr>
        <w:t xml:space="preserve">rientaciones para la elaboración del informe especializado en drogas que desde esta cartera se gestionó incluir en la estrategia.  </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Es preciso señalar que la elaboración de este informe es una responsabilidad legal de gra</w:t>
      </w:r>
      <w:r>
        <w:rPr>
          <w:rFonts w:ascii="Arial" w:hAnsi="Arial" w:cs="Arial"/>
          <w:color w:val="000000"/>
        </w:rPr>
        <w:t xml:space="preserve">n </w:t>
      </w:r>
      <w:r w:rsidRPr="00E66D8C">
        <w:rPr>
          <w:rFonts w:ascii="Arial" w:hAnsi="Arial" w:cs="Arial"/>
          <w:color w:val="000000"/>
        </w:rPr>
        <w:t>Importancia para el abordaje integral del fenómeno de las drogas con enfoque territorial, en el entendido de que es a partir de la información que allí se registra, que tanto las autoridades salientes como las entrantes y los órganos de control pueden obtener información relevante y veraz acerca de cuáles fueron los  resultados y cuáles son los retos del Departamento, que sirvan de punto de partida para las nuevas administraciones regionales y locales 2020-2023.</w:t>
      </w:r>
    </w:p>
    <w:p w:rsidR="00863EC3" w:rsidRDefault="00863EC3" w:rsidP="00863EC3">
      <w:pPr>
        <w:spacing w:after="0" w:line="240" w:lineRule="auto"/>
        <w:jc w:val="both"/>
        <w:rPr>
          <w:rFonts w:ascii="Arial" w:hAnsi="Arial" w:cs="Arial"/>
          <w:b/>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CUARTO</w:t>
      </w:r>
      <w:r>
        <w:rPr>
          <w:rFonts w:ascii="Arial" w:hAnsi="Arial" w:cs="Arial"/>
          <w:color w:val="000000"/>
        </w:rPr>
        <w:t xml:space="preserve"> TRIMESTRE (OCTUBRE </w:t>
      </w:r>
      <w:r w:rsidRPr="00863EC3">
        <w:rPr>
          <w:rFonts w:ascii="Arial" w:hAnsi="Arial" w:cs="Arial"/>
          <w:color w:val="000000"/>
        </w:rPr>
        <w:t>-</w:t>
      </w:r>
      <w:r>
        <w:rPr>
          <w:rFonts w:ascii="Arial" w:hAnsi="Arial" w:cs="Arial"/>
          <w:color w:val="000000"/>
        </w:rPr>
        <w:t>DICIEMBRE</w:t>
      </w:r>
      <w:r w:rsidRPr="00863EC3">
        <w:rPr>
          <w:rFonts w:ascii="Arial" w:hAnsi="Arial" w:cs="Arial"/>
          <w:color w:val="000000"/>
        </w:rPr>
        <w:t>)</w:t>
      </w:r>
    </w:p>
    <w:p w:rsidR="00863EC3" w:rsidRDefault="00863EC3" w:rsidP="00863EC3">
      <w:pPr>
        <w:spacing w:after="0" w:line="240" w:lineRule="auto"/>
        <w:jc w:val="both"/>
        <w:rPr>
          <w:rFonts w:ascii="Arial" w:hAnsi="Arial" w:cs="Arial"/>
          <w:b/>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Durante el cuarto trimestre el equipo territorial culminó su primera fase de aproximación a los territorios así: </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w:t>
      </w:r>
      <w:r w:rsidRPr="00863EC3">
        <w:rPr>
          <w:rFonts w:ascii="Arial" w:hAnsi="Arial" w:cs="Arial"/>
          <w:color w:val="000000"/>
        </w:rPr>
        <w:tab/>
        <w:t>Cundinamarca: 28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w:t>
      </w:r>
      <w:r w:rsidRPr="00863EC3">
        <w:rPr>
          <w:rFonts w:ascii="Arial" w:hAnsi="Arial" w:cs="Arial"/>
          <w:color w:val="000000"/>
        </w:rPr>
        <w:tab/>
        <w:t>Bogotá: 16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w:t>
      </w:r>
      <w:r w:rsidRPr="00863EC3">
        <w:rPr>
          <w:rFonts w:ascii="Arial" w:hAnsi="Arial" w:cs="Arial"/>
          <w:color w:val="000000"/>
        </w:rPr>
        <w:tab/>
        <w:t>Bogotá: 1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4.</w:t>
      </w:r>
      <w:r w:rsidRPr="00863EC3">
        <w:rPr>
          <w:rFonts w:ascii="Arial" w:hAnsi="Arial" w:cs="Arial"/>
          <w:color w:val="000000"/>
        </w:rPr>
        <w:tab/>
        <w:t>Huila: 1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5.</w:t>
      </w:r>
      <w:r w:rsidRPr="00863EC3">
        <w:rPr>
          <w:rFonts w:ascii="Arial" w:hAnsi="Arial" w:cs="Arial"/>
          <w:color w:val="000000"/>
        </w:rPr>
        <w:tab/>
        <w:t>Vichada: 10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6.</w:t>
      </w:r>
      <w:r w:rsidRPr="00863EC3">
        <w:rPr>
          <w:rFonts w:ascii="Arial" w:hAnsi="Arial" w:cs="Arial"/>
          <w:color w:val="000000"/>
        </w:rPr>
        <w:tab/>
        <w:t>Valle del Cauca: 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7.</w:t>
      </w:r>
      <w:r w:rsidRPr="00863EC3">
        <w:rPr>
          <w:rFonts w:ascii="Arial" w:hAnsi="Arial" w:cs="Arial"/>
          <w:color w:val="000000"/>
        </w:rPr>
        <w:tab/>
        <w:t>Putumayo: 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8.</w:t>
      </w:r>
      <w:r w:rsidRPr="00863EC3">
        <w:rPr>
          <w:rFonts w:ascii="Arial" w:hAnsi="Arial" w:cs="Arial"/>
          <w:color w:val="000000"/>
        </w:rPr>
        <w:tab/>
        <w:t>Guainía: 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9.</w:t>
      </w:r>
      <w:r w:rsidRPr="00863EC3">
        <w:rPr>
          <w:rFonts w:ascii="Arial" w:hAnsi="Arial" w:cs="Arial"/>
          <w:color w:val="000000"/>
        </w:rPr>
        <w:tab/>
        <w:t>Atlántico: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10.</w:t>
      </w:r>
      <w:r w:rsidRPr="00863EC3">
        <w:rPr>
          <w:rFonts w:ascii="Arial" w:hAnsi="Arial" w:cs="Arial"/>
          <w:color w:val="000000"/>
        </w:rPr>
        <w:tab/>
        <w:t>Amazonas: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11.</w:t>
      </w:r>
      <w:r w:rsidRPr="00863EC3">
        <w:rPr>
          <w:rFonts w:ascii="Arial" w:hAnsi="Arial" w:cs="Arial"/>
          <w:color w:val="000000"/>
        </w:rPr>
        <w:tab/>
        <w:t>Casanare: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12.</w:t>
      </w:r>
      <w:r w:rsidRPr="00863EC3">
        <w:rPr>
          <w:rFonts w:ascii="Arial" w:hAnsi="Arial" w:cs="Arial"/>
          <w:color w:val="000000"/>
        </w:rPr>
        <w:tab/>
        <w:t>Magdalena: 14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13.</w:t>
      </w:r>
      <w:r w:rsidRPr="00863EC3">
        <w:rPr>
          <w:rFonts w:ascii="Arial" w:hAnsi="Arial" w:cs="Arial"/>
          <w:color w:val="000000"/>
        </w:rPr>
        <w:tab/>
        <w:t>Quindío: 15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14.</w:t>
      </w:r>
      <w:r w:rsidRPr="00863EC3">
        <w:rPr>
          <w:rFonts w:ascii="Arial" w:hAnsi="Arial" w:cs="Arial"/>
          <w:color w:val="000000"/>
        </w:rPr>
        <w:tab/>
        <w:t>Santander: 18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15.</w:t>
      </w:r>
      <w:r w:rsidRPr="00863EC3">
        <w:rPr>
          <w:rFonts w:ascii="Arial" w:hAnsi="Arial" w:cs="Arial"/>
          <w:color w:val="000000"/>
        </w:rPr>
        <w:tab/>
        <w:t>Cesar: 19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16.</w:t>
      </w:r>
      <w:r w:rsidRPr="00863EC3">
        <w:rPr>
          <w:rFonts w:ascii="Arial" w:hAnsi="Arial" w:cs="Arial"/>
          <w:color w:val="000000"/>
        </w:rPr>
        <w:tab/>
        <w:t>Guaviare: 19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17.</w:t>
      </w:r>
      <w:r w:rsidRPr="00863EC3">
        <w:rPr>
          <w:rFonts w:ascii="Arial" w:hAnsi="Arial" w:cs="Arial"/>
          <w:color w:val="000000"/>
        </w:rPr>
        <w:tab/>
        <w:t>Meta: 25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18.</w:t>
      </w:r>
      <w:r w:rsidRPr="00863EC3">
        <w:rPr>
          <w:rFonts w:ascii="Arial" w:hAnsi="Arial" w:cs="Arial"/>
          <w:color w:val="000000"/>
        </w:rPr>
        <w:tab/>
        <w:t>Vichada: 25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19.</w:t>
      </w:r>
      <w:r w:rsidRPr="00863EC3">
        <w:rPr>
          <w:rFonts w:ascii="Arial" w:hAnsi="Arial" w:cs="Arial"/>
          <w:color w:val="000000"/>
        </w:rPr>
        <w:tab/>
        <w:t>Sucre: 26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20.</w:t>
      </w:r>
      <w:r w:rsidRPr="00863EC3">
        <w:rPr>
          <w:rFonts w:ascii="Arial" w:hAnsi="Arial" w:cs="Arial"/>
          <w:color w:val="000000"/>
        </w:rPr>
        <w:tab/>
        <w:t>Boyacá: 26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21.</w:t>
      </w:r>
      <w:r w:rsidRPr="00863EC3">
        <w:rPr>
          <w:rFonts w:ascii="Arial" w:hAnsi="Arial" w:cs="Arial"/>
          <w:color w:val="000000"/>
        </w:rPr>
        <w:tab/>
        <w:t>Antioquia: 27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22.</w:t>
      </w:r>
      <w:r w:rsidRPr="00863EC3">
        <w:rPr>
          <w:rFonts w:ascii="Arial" w:hAnsi="Arial" w:cs="Arial"/>
          <w:color w:val="000000"/>
        </w:rPr>
        <w:tab/>
        <w:t>Caldas: 27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23.</w:t>
      </w:r>
      <w:r w:rsidRPr="00863EC3">
        <w:rPr>
          <w:rFonts w:ascii="Arial" w:hAnsi="Arial" w:cs="Arial"/>
          <w:color w:val="000000"/>
        </w:rPr>
        <w:tab/>
        <w:t>Risaralda: 28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24.</w:t>
      </w:r>
      <w:r w:rsidRPr="00863EC3">
        <w:rPr>
          <w:rFonts w:ascii="Arial" w:hAnsi="Arial" w:cs="Arial"/>
          <w:color w:val="000000"/>
        </w:rPr>
        <w:tab/>
        <w:t>La Guajira: 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25.</w:t>
      </w:r>
      <w:r w:rsidRPr="00863EC3">
        <w:rPr>
          <w:rFonts w:ascii="Arial" w:hAnsi="Arial" w:cs="Arial"/>
          <w:color w:val="000000"/>
        </w:rPr>
        <w:tab/>
        <w:t>Chocó: 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26.</w:t>
      </w:r>
      <w:r w:rsidRPr="00863EC3">
        <w:rPr>
          <w:rFonts w:ascii="Arial" w:hAnsi="Arial" w:cs="Arial"/>
          <w:color w:val="000000"/>
        </w:rPr>
        <w:tab/>
        <w:t>Caquetá: 04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27.</w:t>
      </w:r>
      <w:r w:rsidRPr="00863EC3">
        <w:rPr>
          <w:rFonts w:ascii="Arial" w:hAnsi="Arial" w:cs="Arial"/>
          <w:color w:val="000000"/>
        </w:rPr>
        <w:tab/>
        <w:t>Córdoba: 06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28.</w:t>
      </w:r>
      <w:r w:rsidRPr="00863EC3">
        <w:rPr>
          <w:rFonts w:ascii="Arial" w:hAnsi="Arial" w:cs="Arial"/>
          <w:color w:val="000000"/>
        </w:rPr>
        <w:tab/>
        <w:t>Nariño: 06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29.</w:t>
      </w:r>
      <w:r w:rsidRPr="00863EC3">
        <w:rPr>
          <w:rFonts w:ascii="Arial" w:hAnsi="Arial" w:cs="Arial"/>
          <w:color w:val="000000"/>
        </w:rPr>
        <w:tab/>
        <w:t>Bolívar: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30.</w:t>
      </w:r>
      <w:r w:rsidRPr="00863EC3">
        <w:rPr>
          <w:rFonts w:ascii="Arial" w:hAnsi="Arial" w:cs="Arial"/>
          <w:color w:val="000000"/>
        </w:rPr>
        <w:tab/>
        <w:t>Cundinamarca: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31.</w:t>
      </w:r>
      <w:r w:rsidRPr="00863EC3">
        <w:rPr>
          <w:rFonts w:ascii="Arial" w:hAnsi="Arial" w:cs="Arial"/>
          <w:color w:val="000000"/>
        </w:rPr>
        <w:tab/>
        <w:t>Arauca: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32.</w:t>
      </w:r>
      <w:r w:rsidRPr="00863EC3">
        <w:rPr>
          <w:rFonts w:ascii="Arial" w:hAnsi="Arial" w:cs="Arial"/>
          <w:color w:val="000000"/>
        </w:rPr>
        <w:tab/>
        <w:t>Bogotá D.C.: 11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33.</w:t>
      </w:r>
      <w:r w:rsidRPr="00863EC3">
        <w:rPr>
          <w:rFonts w:ascii="Arial" w:hAnsi="Arial" w:cs="Arial"/>
          <w:color w:val="000000"/>
        </w:rPr>
        <w:tab/>
        <w:t>Norte de Santander: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34.</w:t>
      </w:r>
      <w:r w:rsidRPr="00863EC3">
        <w:rPr>
          <w:rFonts w:ascii="Arial" w:hAnsi="Arial" w:cs="Arial"/>
          <w:color w:val="000000"/>
        </w:rPr>
        <w:tab/>
        <w:t>Tolima: 11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35.</w:t>
      </w:r>
      <w:r w:rsidRPr="00863EC3">
        <w:rPr>
          <w:rFonts w:ascii="Arial" w:hAnsi="Arial" w:cs="Arial"/>
          <w:color w:val="000000"/>
        </w:rPr>
        <w:tab/>
        <w:t>Huila: 12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36.</w:t>
      </w:r>
      <w:r w:rsidRPr="00863EC3">
        <w:rPr>
          <w:rFonts w:ascii="Arial" w:hAnsi="Arial" w:cs="Arial"/>
          <w:color w:val="000000"/>
        </w:rPr>
        <w:tab/>
        <w:t>San Andrés: 13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37.</w:t>
      </w:r>
      <w:r w:rsidRPr="00863EC3">
        <w:rPr>
          <w:rFonts w:ascii="Arial" w:hAnsi="Arial" w:cs="Arial"/>
          <w:color w:val="000000"/>
        </w:rPr>
        <w:tab/>
        <w:t>Cauca: 13 de diciembre de 2019</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El equipo territorial gestionó la inclusión de variables asociadas a la problemática de drogas en el portal </w:t>
      </w:r>
      <w:proofErr w:type="spellStart"/>
      <w:r w:rsidRPr="00863EC3">
        <w:rPr>
          <w:rFonts w:ascii="Arial" w:hAnsi="Arial" w:cs="Arial"/>
          <w:color w:val="000000"/>
        </w:rPr>
        <w:t>Terridata</w:t>
      </w:r>
      <w:proofErr w:type="spellEnd"/>
      <w:r w:rsidRPr="00863EC3">
        <w:rPr>
          <w:rFonts w:ascii="Arial" w:hAnsi="Arial" w:cs="Arial"/>
          <w:color w:val="000000"/>
        </w:rPr>
        <w:t xml:space="preserve"> del Departamento Nacional de Planeación con el propósito de facilitar el proceso de diagnóstico para la elaboración de los Planes de Desarrollo Territoriales a los gobernadores electos. </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Lo anterior se enmarca en la herramienta "Kit de Planeación Territorial"   que el DNP lanzará el 7 de enero de 2020, donde </w:t>
      </w:r>
      <w:proofErr w:type="spellStart"/>
      <w:r w:rsidRPr="00863EC3">
        <w:rPr>
          <w:rFonts w:ascii="Arial" w:hAnsi="Arial" w:cs="Arial"/>
          <w:color w:val="000000"/>
        </w:rPr>
        <w:t>Terridata</w:t>
      </w:r>
      <w:proofErr w:type="spellEnd"/>
      <w:r w:rsidRPr="00863EC3">
        <w:rPr>
          <w:rFonts w:ascii="Arial" w:hAnsi="Arial" w:cs="Arial"/>
          <w:color w:val="000000"/>
        </w:rPr>
        <w:t xml:space="preserve"> será una fuente clave de información para la elaboración de diagnósticos y estrategias al amparo de los programas de gobierno de los gobernadores. Este logro le permite al </w:t>
      </w:r>
      <w:r w:rsidRPr="00863EC3">
        <w:rPr>
          <w:rFonts w:ascii="Arial" w:hAnsi="Arial" w:cs="Arial"/>
          <w:color w:val="000000"/>
        </w:rPr>
        <w:lastRenderedPageBreak/>
        <w:t xml:space="preserve">equipo territorial avanzar de manera significativa en la estrategia de </w:t>
      </w:r>
      <w:proofErr w:type="spellStart"/>
      <w:r w:rsidRPr="00863EC3">
        <w:rPr>
          <w:rFonts w:ascii="Arial" w:hAnsi="Arial" w:cs="Arial"/>
          <w:color w:val="000000"/>
        </w:rPr>
        <w:t>territorialización</w:t>
      </w:r>
      <w:proofErr w:type="spellEnd"/>
      <w:r w:rsidRPr="00863EC3">
        <w:rPr>
          <w:rFonts w:ascii="Arial" w:hAnsi="Arial" w:cs="Arial"/>
          <w:color w:val="000000"/>
        </w:rPr>
        <w:t xml:space="preserve"> de Ruta Futuro en el ámbito local. </w:t>
      </w:r>
    </w:p>
    <w:p w:rsidR="00863EC3" w:rsidRPr="00863EC3" w:rsidRDefault="00863EC3" w:rsidP="00863EC3">
      <w:pPr>
        <w:spacing w:after="0" w:line="240" w:lineRule="auto"/>
        <w:jc w:val="both"/>
        <w:rPr>
          <w:rFonts w:ascii="Arial" w:hAnsi="Arial" w:cs="Arial"/>
          <w:color w:val="000000"/>
        </w:rPr>
      </w:pPr>
    </w:p>
    <w:p w:rsidR="00AC252A" w:rsidRPr="00863EC3" w:rsidRDefault="00863EC3" w:rsidP="00863EC3">
      <w:pPr>
        <w:spacing w:after="0" w:line="240" w:lineRule="auto"/>
        <w:jc w:val="both"/>
        <w:rPr>
          <w:rFonts w:ascii="Arial" w:hAnsi="Arial" w:cs="Arial"/>
          <w:color w:val="000000"/>
        </w:rPr>
      </w:pPr>
      <w:r w:rsidRPr="00863EC3">
        <w:rPr>
          <w:rFonts w:ascii="Arial" w:hAnsi="Arial" w:cs="Arial"/>
          <w:color w:val="000000"/>
        </w:rPr>
        <w:t>El equipo territorial ha avanzado en la elaboración de una Guía de orientación para que los Gobiernos locales apropien Ruta Futuro, y los lineamientos de las mismas sean incluidos en los instrumentos de planeación pertinentes.</w:t>
      </w:r>
    </w:p>
    <w:p w:rsidR="00E66D8C" w:rsidRPr="00863EC3" w:rsidRDefault="00E66D8C" w:rsidP="00D14F0F">
      <w:pPr>
        <w:spacing w:after="0" w:line="240" w:lineRule="auto"/>
        <w:jc w:val="both"/>
        <w:rPr>
          <w:rFonts w:ascii="Arial" w:hAnsi="Arial" w:cs="Arial"/>
          <w:color w:val="000000"/>
        </w:rPr>
      </w:pPr>
      <w:r w:rsidRPr="00863EC3">
        <w:rPr>
          <w:rFonts w:ascii="Arial" w:hAnsi="Arial" w:cs="Arial"/>
          <w:color w:val="000000"/>
        </w:rPr>
        <w:t>Requerimientos en materia de cooperación judicial de autoridades Nacionales y Extranjeras</w:t>
      </w:r>
      <w:r w:rsidR="00F17469" w:rsidRPr="00863EC3">
        <w:rPr>
          <w:rFonts w:ascii="Arial" w:hAnsi="Arial" w:cs="Arial"/>
          <w:color w:val="000000"/>
        </w:rPr>
        <w:t>.</w:t>
      </w:r>
    </w:p>
    <w:p w:rsidR="00F17469" w:rsidRPr="00863EC3" w:rsidRDefault="00F17469" w:rsidP="00D14F0F">
      <w:pPr>
        <w:spacing w:after="0" w:line="240" w:lineRule="auto"/>
        <w:jc w:val="both"/>
        <w:rPr>
          <w:rFonts w:ascii="Arial" w:hAnsi="Arial" w:cs="Arial"/>
          <w:color w:val="000000"/>
        </w:rPr>
      </w:pPr>
    </w:p>
    <w:p w:rsidR="0063770C" w:rsidRPr="0063770C" w:rsidRDefault="0063770C" w:rsidP="0063770C">
      <w:pPr>
        <w:spacing w:after="0" w:line="240" w:lineRule="auto"/>
        <w:jc w:val="both"/>
        <w:rPr>
          <w:rFonts w:ascii="Arial" w:hAnsi="Arial" w:cs="Arial"/>
          <w:color w:val="000000"/>
        </w:rPr>
      </w:pPr>
      <w:r w:rsidRPr="0063770C">
        <w:rPr>
          <w:rFonts w:ascii="Arial" w:hAnsi="Arial" w:cs="Arial"/>
          <w:color w:val="000000"/>
        </w:rPr>
        <w:t xml:space="preserve">Para el cuarto trimestre del año 2019, se recibieron y atendieron 59 solicitudes de asistencia judicial mutua en materia penal, las cuales se distribuyeron de la siguiente manera: en octubre se recibieron y atendieron 23, en noviembre se recibieron y atendieron 18, y en diciembre se recibieron y atendieron 18 solicitudes. </w:t>
      </w:r>
    </w:p>
    <w:p w:rsidR="0063770C" w:rsidRDefault="0063770C" w:rsidP="0063770C">
      <w:pPr>
        <w:spacing w:after="0" w:line="240" w:lineRule="auto"/>
        <w:jc w:val="both"/>
        <w:rPr>
          <w:rFonts w:ascii="Arial" w:hAnsi="Arial" w:cs="Arial"/>
          <w:color w:val="000000"/>
        </w:rPr>
      </w:pPr>
    </w:p>
    <w:p w:rsidR="00AC252A" w:rsidRDefault="0063770C" w:rsidP="0063770C">
      <w:pPr>
        <w:spacing w:after="0" w:line="240" w:lineRule="auto"/>
        <w:jc w:val="both"/>
        <w:rPr>
          <w:rFonts w:ascii="Arial" w:hAnsi="Arial" w:cs="Arial"/>
          <w:color w:val="000000"/>
        </w:rPr>
      </w:pPr>
      <w:r w:rsidRPr="0063770C">
        <w:rPr>
          <w:rFonts w:ascii="Arial" w:hAnsi="Arial" w:cs="Arial"/>
          <w:color w:val="000000"/>
        </w:rPr>
        <w:t>Todas ellas fueron atendidas oportunamente y de manera adecuada, cumpliendo así con la meta del 100% programada.</w:t>
      </w:r>
    </w:p>
    <w:p w:rsidR="0063770C" w:rsidRDefault="0063770C" w:rsidP="0063770C">
      <w:pPr>
        <w:spacing w:after="0" w:line="240" w:lineRule="auto"/>
        <w:jc w:val="both"/>
        <w:rPr>
          <w:rFonts w:ascii="Arial" w:hAnsi="Arial" w:cs="Arial"/>
          <w:b/>
          <w:color w:val="000000"/>
        </w:rPr>
      </w:pPr>
    </w:p>
    <w:p w:rsidR="00F17469" w:rsidRDefault="00F17469" w:rsidP="00D14F0F">
      <w:pPr>
        <w:spacing w:after="0" w:line="240" w:lineRule="auto"/>
        <w:jc w:val="both"/>
        <w:rPr>
          <w:rFonts w:ascii="Arial" w:hAnsi="Arial" w:cs="Arial"/>
          <w:b/>
          <w:color w:val="000000"/>
        </w:rPr>
      </w:pPr>
      <w:r w:rsidRPr="00F17469">
        <w:rPr>
          <w:rFonts w:ascii="Arial" w:hAnsi="Arial" w:cs="Arial"/>
          <w:b/>
          <w:color w:val="000000"/>
        </w:rPr>
        <w:t>Entregas efectivas en extradición</w:t>
      </w:r>
      <w:r>
        <w:rPr>
          <w:rFonts w:ascii="Arial" w:hAnsi="Arial" w:cs="Arial"/>
          <w:b/>
          <w:color w:val="000000"/>
        </w:rPr>
        <w:t>.</w:t>
      </w:r>
    </w:p>
    <w:p w:rsidR="00F17469" w:rsidRDefault="00F17469" w:rsidP="00D14F0F">
      <w:pPr>
        <w:spacing w:after="0" w:line="240" w:lineRule="auto"/>
        <w:jc w:val="both"/>
        <w:rPr>
          <w:rFonts w:ascii="Arial" w:hAnsi="Arial" w:cs="Arial"/>
          <w:b/>
          <w:color w:val="000000"/>
        </w:rPr>
      </w:pPr>
    </w:p>
    <w:p w:rsidR="00F17469" w:rsidRDefault="0063770C" w:rsidP="00D14F0F">
      <w:pPr>
        <w:spacing w:after="0" w:line="240" w:lineRule="auto"/>
        <w:jc w:val="both"/>
        <w:rPr>
          <w:rFonts w:ascii="Arial" w:hAnsi="Arial" w:cs="Arial"/>
          <w:b/>
          <w:color w:val="000000"/>
        </w:rPr>
      </w:pPr>
      <w:r w:rsidRPr="0063770C">
        <w:rPr>
          <w:rFonts w:ascii="Arial" w:hAnsi="Arial" w:cs="Arial"/>
          <w:color w:val="000000"/>
        </w:rPr>
        <w:t>De los expedientes de extradición recibidos para el período de octubre a diciembre se recibieron un total de 81 (que por términos son atendidos en el trimestre), distribuidos así: 35 en octubre, 26 en noviembre, 20 en diciembre.</w:t>
      </w:r>
    </w:p>
    <w:p w:rsidR="00F17469" w:rsidRDefault="00F17469" w:rsidP="00D14F0F">
      <w:pPr>
        <w:spacing w:after="0" w:line="240" w:lineRule="auto"/>
        <w:jc w:val="both"/>
        <w:rPr>
          <w:rFonts w:ascii="Arial" w:hAnsi="Arial" w:cs="Arial"/>
          <w:b/>
          <w:color w:val="000000"/>
        </w:rPr>
      </w:pPr>
    </w:p>
    <w:p w:rsidR="00F17469" w:rsidRDefault="00F17469" w:rsidP="00D14F0F">
      <w:pPr>
        <w:spacing w:after="0" w:line="240" w:lineRule="auto"/>
        <w:jc w:val="both"/>
        <w:rPr>
          <w:rFonts w:ascii="Arial" w:hAnsi="Arial" w:cs="Arial"/>
          <w:b/>
          <w:color w:val="000000"/>
        </w:rPr>
      </w:pPr>
      <w:r w:rsidRPr="00F17469">
        <w:rPr>
          <w:rFonts w:ascii="Arial" w:hAnsi="Arial" w:cs="Arial"/>
          <w:b/>
          <w:color w:val="000000"/>
        </w:rPr>
        <w:t>Trámites de repatriación</w:t>
      </w:r>
      <w:r>
        <w:rPr>
          <w:rFonts w:ascii="Arial" w:hAnsi="Arial" w:cs="Arial"/>
          <w:b/>
          <w:color w:val="000000"/>
        </w:rPr>
        <w:t>.</w:t>
      </w:r>
    </w:p>
    <w:p w:rsidR="0063770C" w:rsidRDefault="0063770C" w:rsidP="00D14F0F">
      <w:pPr>
        <w:spacing w:after="0" w:line="240" w:lineRule="auto"/>
        <w:jc w:val="both"/>
        <w:rPr>
          <w:rFonts w:ascii="Arial" w:hAnsi="Arial" w:cs="Arial"/>
          <w:b/>
          <w:color w:val="000000"/>
        </w:rPr>
      </w:pPr>
    </w:p>
    <w:p w:rsidR="00F17469" w:rsidRDefault="0063770C" w:rsidP="00D14F0F">
      <w:pPr>
        <w:spacing w:after="0" w:line="240" w:lineRule="auto"/>
        <w:jc w:val="both"/>
        <w:rPr>
          <w:rFonts w:ascii="Arial" w:hAnsi="Arial" w:cs="Arial"/>
          <w:b/>
          <w:color w:val="000000"/>
        </w:rPr>
      </w:pPr>
      <w:r w:rsidRPr="0063770C">
        <w:rPr>
          <w:rFonts w:ascii="Arial" w:hAnsi="Arial" w:cs="Arial"/>
          <w:color w:val="000000"/>
        </w:rPr>
        <w:t>Para el cuarto trimestre de octubre a diciembre de 2019 se recibieron 10 solicitudes de traslado, así: 6 en septiembre, 0 en octubre, 4 en noviembre y 6 en diciembre</w:t>
      </w:r>
      <w:proofErr w:type="gramStart"/>
      <w:r w:rsidRPr="0063770C">
        <w:rPr>
          <w:rFonts w:ascii="Arial" w:hAnsi="Arial" w:cs="Arial"/>
          <w:color w:val="000000"/>
        </w:rPr>
        <w:t>..</w:t>
      </w:r>
      <w:proofErr w:type="gramEnd"/>
      <w:r w:rsidRPr="0063770C">
        <w:rPr>
          <w:rFonts w:ascii="Arial" w:hAnsi="Arial" w:cs="Arial"/>
          <w:color w:val="000000"/>
        </w:rPr>
        <w:t xml:space="preserve"> Todas éstas solicitudes fueron atendidas oportunamente por esta Dirección, cumpliendo en un 100% con la meta programada tal y como lo refleja la medición del indicador.</w:t>
      </w:r>
    </w:p>
    <w:p w:rsidR="00F17469" w:rsidRDefault="00F17469" w:rsidP="00D14F0F">
      <w:pPr>
        <w:spacing w:after="0" w:line="240" w:lineRule="auto"/>
        <w:jc w:val="both"/>
        <w:rPr>
          <w:rFonts w:ascii="Arial" w:hAnsi="Arial" w:cs="Arial"/>
          <w:b/>
          <w:color w:val="000000"/>
        </w:rPr>
      </w:pPr>
    </w:p>
    <w:p w:rsidR="003356DA" w:rsidRDefault="003356DA" w:rsidP="00D14F0F">
      <w:pPr>
        <w:spacing w:after="0" w:line="240" w:lineRule="auto"/>
        <w:jc w:val="both"/>
        <w:rPr>
          <w:rFonts w:ascii="Arial" w:hAnsi="Arial" w:cs="Arial"/>
          <w:b/>
          <w:color w:val="000000"/>
        </w:rPr>
      </w:pPr>
      <w:r>
        <w:rPr>
          <w:rFonts w:ascii="Arial" w:hAnsi="Arial" w:cs="Arial"/>
          <w:b/>
          <w:color w:val="000000"/>
        </w:rPr>
        <w:t>O</w:t>
      </w:r>
      <w:r w:rsidRPr="003356DA">
        <w:rPr>
          <w:rFonts w:ascii="Arial" w:hAnsi="Arial" w:cs="Arial"/>
          <w:b/>
          <w:color w:val="000000"/>
        </w:rPr>
        <w:t>peración de casas de justicia</w:t>
      </w:r>
    </w:p>
    <w:p w:rsidR="003356DA" w:rsidRDefault="003356DA" w:rsidP="00D14F0F">
      <w:pPr>
        <w:spacing w:after="0" w:line="240" w:lineRule="auto"/>
        <w:jc w:val="both"/>
        <w:rPr>
          <w:rFonts w:ascii="Arial" w:hAnsi="Arial" w:cs="Arial"/>
          <w:b/>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Para el año 2019 no se programó la puesta en operación de casas de justicia. No obstante, se recibió solicitud del Distrito Capital de Bogotá para la incorporación de cinco (5) Casas de Justicia, las cuales cumplieron con los requisitos establecidos por el Programa Nacional de Casas de Justicia y Convivencia Ciudadana (PNCJCC).</w:t>
      </w:r>
    </w:p>
    <w:p w:rsidR="003356DA" w:rsidRPr="003356DA" w:rsidRDefault="003356DA" w:rsidP="003356DA">
      <w:pPr>
        <w:spacing w:after="0" w:line="240" w:lineRule="auto"/>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En los meses de septiembre y octubre de 2019 se expidieron las respectivas certificaciones en las cuales consta la implementación del PNCJCC: </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1) MJD-CER19-0001072-2100. Casa de Justicia de Chapinero - calle 45.</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2) MJD-CER19-0001089-2100. Casa de Justicia de Engativá.</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3) MJD-CER19-0001091-2100. Casa de Justicia de Suba - Pontevedra.</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4) MJD-CER19-0001092-2100. Casa de Justicia de Usaquén.</w:t>
      </w:r>
    </w:p>
    <w:p w:rsid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5) MJD-CER19-0001278-2100. Casa de Justicia de Suba (motivo: traslado de sede en la misma localidad).</w:t>
      </w: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Nota: Fue reemplazada la sede de la Casa de Justicia que estaba operando en Suba en razón a actos terroristas. Se expidió la respectiva certificación con MJD-CER19-0001278-2100 indicando que a partir del 11 de octubre de 2019 fue implementado el programa en la localidad de Suba (Casa de Justicia - Ciudad Jardín).</w:t>
      </w: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Pr="003356DA" w:rsidRDefault="003356DA" w:rsidP="003356DA">
      <w:pPr>
        <w:spacing w:after="0" w:line="240" w:lineRule="auto"/>
        <w:ind w:left="708"/>
        <w:jc w:val="both"/>
        <w:rPr>
          <w:rFonts w:ascii="Arial" w:hAnsi="Arial" w:cs="Arial"/>
          <w:color w:val="000000"/>
        </w:rPr>
      </w:pPr>
    </w:p>
    <w:p w:rsidR="003356DA" w:rsidRPr="00AC252A" w:rsidRDefault="003356DA" w:rsidP="00D14F0F">
      <w:pPr>
        <w:spacing w:after="0" w:line="240" w:lineRule="auto"/>
        <w:jc w:val="both"/>
        <w:rPr>
          <w:rFonts w:ascii="Arial" w:hAnsi="Arial" w:cs="Arial"/>
          <w:b/>
          <w:color w:val="000000"/>
        </w:rPr>
      </w:pPr>
    </w:p>
    <w:p w:rsidR="006F04EB" w:rsidRDefault="006F04EB" w:rsidP="006F04EB">
      <w:pPr>
        <w:autoSpaceDE w:val="0"/>
        <w:autoSpaceDN w:val="0"/>
        <w:adjustRightInd w:val="0"/>
        <w:spacing w:after="0" w:line="240" w:lineRule="auto"/>
        <w:rPr>
          <w:rFonts w:ascii="Arial" w:hAnsi="Arial" w:cs="Arial"/>
          <w:b/>
          <w:bCs/>
          <w:color w:val="2F5497"/>
        </w:rPr>
      </w:pPr>
      <w:r w:rsidRPr="006F04EB">
        <w:rPr>
          <w:rFonts w:ascii="Arial" w:hAnsi="Arial" w:cs="Arial"/>
          <w:b/>
          <w:bCs/>
          <w:color w:val="2F5497"/>
        </w:rPr>
        <w:t>Proceso Inspección, Control y Vigilancia</w:t>
      </w:r>
    </w:p>
    <w:p w:rsidR="003356DA" w:rsidRDefault="003356DA" w:rsidP="006F04EB">
      <w:pPr>
        <w:autoSpaceDE w:val="0"/>
        <w:autoSpaceDN w:val="0"/>
        <w:adjustRightInd w:val="0"/>
        <w:spacing w:after="0" w:line="240" w:lineRule="auto"/>
        <w:rPr>
          <w:rFonts w:ascii="Arial" w:hAnsi="Arial" w:cs="Arial"/>
          <w:b/>
          <w:bCs/>
          <w:color w:val="2F5497"/>
        </w:rPr>
      </w:pPr>
    </w:p>
    <w:p w:rsidR="003356DA" w:rsidRDefault="003356DA" w:rsidP="006F04EB">
      <w:pPr>
        <w:autoSpaceDE w:val="0"/>
        <w:autoSpaceDN w:val="0"/>
        <w:adjustRightInd w:val="0"/>
        <w:spacing w:after="0" w:line="240" w:lineRule="auto"/>
        <w:rPr>
          <w:rFonts w:ascii="Arial" w:hAnsi="Arial" w:cs="Arial"/>
          <w:b/>
          <w:bCs/>
          <w:color w:val="2F5497"/>
        </w:rPr>
      </w:pPr>
    </w:p>
    <w:p w:rsidR="003356DA" w:rsidRPr="006F04EB" w:rsidRDefault="003356DA" w:rsidP="006F04EB">
      <w:pPr>
        <w:autoSpaceDE w:val="0"/>
        <w:autoSpaceDN w:val="0"/>
        <w:adjustRightInd w:val="0"/>
        <w:spacing w:after="0" w:line="240" w:lineRule="auto"/>
        <w:rPr>
          <w:rFonts w:ascii="Arial" w:hAnsi="Arial" w:cs="Arial"/>
          <w:b/>
          <w:bCs/>
          <w:color w:val="2F5497"/>
        </w:rPr>
      </w:pPr>
    </w:p>
    <w:p w:rsidR="006F04EB" w:rsidRDefault="00DB7B09" w:rsidP="00DB7B09">
      <w:pPr>
        <w:widowControl w:val="0"/>
        <w:spacing w:after="120" w:line="285" w:lineRule="auto"/>
        <w:jc w:val="center"/>
        <w:rPr>
          <w:rFonts w:ascii="Georgia" w:eastAsia="Times New Roman" w:hAnsi="Georgia" w:cs="Times New Roman"/>
          <w:color w:val="000000"/>
          <w:kern w:val="28"/>
          <w:sz w:val="20"/>
          <w:szCs w:val="20"/>
          <w:lang w:eastAsia="es-CO"/>
          <w14:cntxtAlts/>
        </w:rPr>
      </w:pPr>
      <w:r w:rsidRPr="00DB7B09">
        <w:rPr>
          <w:noProof/>
          <w:lang w:eastAsia="es-CO"/>
        </w:rPr>
        <w:drawing>
          <wp:inline distT="0" distB="0" distL="0" distR="0">
            <wp:extent cx="2295525" cy="21431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F04EB" w:rsidRPr="006F04EB" w:rsidRDefault="006F04EB" w:rsidP="006F04EB">
      <w:pPr>
        <w:widowControl w:val="0"/>
        <w:spacing w:after="120" w:line="285" w:lineRule="auto"/>
        <w:jc w:val="center"/>
        <w:rPr>
          <w:rFonts w:ascii="Georgia" w:eastAsia="Times New Roman" w:hAnsi="Georgia" w:cs="Times New Roman"/>
          <w:color w:val="000000"/>
          <w:kern w:val="28"/>
          <w:sz w:val="20"/>
          <w:szCs w:val="20"/>
          <w:lang w:eastAsia="es-CO"/>
          <w14:cntxtAlts/>
        </w:rPr>
      </w:pPr>
    </w:p>
    <w:p w:rsidR="00DB7B09" w:rsidRPr="00DB7B09" w:rsidRDefault="00DB7B09" w:rsidP="00DB7B09">
      <w:pPr>
        <w:pStyle w:val="Prrafodelista"/>
        <w:jc w:val="both"/>
        <w:rPr>
          <w:rFonts w:ascii="Arial" w:hAnsi="Arial" w:cs="Arial"/>
          <w:color w:val="000000"/>
        </w:rPr>
      </w:pPr>
      <w:r w:rsidRPr="00DB7B09">
        <w:rPr>
          <w:rFonts w:ascii="Arial" w:hAnsi="Arial" w:cs="Arial"/>
          <w:color w:val="000000"/>
        </w:rPr>
        <w:t>Durante el III trimestre del año 2019 se adelantaron las siguientes acciones de inspección, control y vigilancia:</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Generación de propuesta preliminar piloto del esquema de inspección, control y vigilancia (1 acción: septiembre).</w:t>
      </w: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Expedición de cuatro resoluciones: una de decisión de investigación adelantada contra un centro de conciliación (resolución 819 de julio),  una donde se resuelve un recurso de reposición interpuesto contra la resolución 418 de 2019 (resolución 1013 de agosto) y dos resoluciones de revocatoria de la autorización de centros de conciliación (resoluciones 1086 y 1116 de septiembre) (4 acciones).</w:t>
      </w: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Realización de treinta y un (31) visitas a centros de conciliación y arbitraje: 11 en julio, 12 en agosto y 8 en septiembre de 2019 (31 acciones).</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4 visitas de inspección realizadas en el mes de junio de 2019 no se reportaron en el II trimestre debido a que no habían sido registradas en SICAAC, por esta razón se realiza el ajuste correspondiente en el periodo indicado (4 acciones).</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 trimestre: 13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II trimestre: 6 +4 = 10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III trimestre: 36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Consolidado de acciones de inspección realizadas = 13+6 + 36 =59 acciones</w:t>
      </w:r>
    </w:p>
    <w:p w:rsidR="00DB7B09" w:rsidRPr="00DB7B09" w:rsidRDefault="00DB7B09" w:rsidP="00DB7B09">
      <w:pPr>
        <w:pStyle w:val="Prrafodelista"/>
        <w:jc w:val="both"/>
        <w:rPr>
          <w:rFonts w:ascii="Arial" w:hAnsi="Arial" w:cs="Arial"/>
          <w:color w:val="000000"/>
        </w:rPr>
      </w:pPr>
      <w:r w:rsidRPr="00DB7B09">
        <w:rPr>
          <w:rFonts w:ascii="Arial" w:hAnsi="Arial" w:cs="Arial"/>
          <w:color w:val="000000"/>
        </w:rPr>
        <w:t xml:space="preserve"> </w:t>
      </w:r>
    </w:p>
    <w:p w:rsidR="00DB7B09" w:rsidRPr="00DB7B09" w:rsidRDefault="00DB7B09" w:rsidP="00DB7B09">
      <w:pPr>
        <w:spacing w:after="0" w:line="240" w:lineRule="auto"/>
        <w:jc w:val="both"/>
        <w:rPr>
          <w:rFonts w:ascii="Arial" w:hAnsi="Arial" w:cs="Arial"/>
          <w:color w:val="000000"/>
        </w:rPr>
      </w:pPr>
      <w:r w:rsidRPr="00DB7B09">
        <w:rPr>
          <w:rFonts w:ascii="Arial" w:hAnsi="Arial" w:cs="Arial"/>
          <w:color w:val="000000"/>
        </w:rPr>
        <w:lastRenderedPageBreak/>
        <w:t>La Dirección de Métodos Alternativos de Solución de Conflictos realizó a 31 de enero de 2019 inspección virtual a través del SICAAC a cuatrocientos (400) Centros de Conciliación y/o Arbitraje que a 2018 estaban activos, cumpliendo así el 100% de la meta establecida para la vigencia 2019.</w:t>
      </w:r>
    </w:p>
    <w:p w:rsidR="00DB7B09" w:rsidRPr="00DB7B09" w:rsidRDefault="00DB7B09" w:rsidP="00DB7B09">
      <w:pPr>
        <w:spacing w:after="0" w:line="240" w:lineRule="auto"/>
        <w:jc w:val="both"/>
        <w:rPr>
          <w:rFonts w:ascii="Arial" w:hAnsi="Arial" w:cs="Arial"/>
          <w:color w:val="000000"/>
        </w:rPr>
      </w:pPr>
    </w:p>
    <w:p w:rsidR="00D14F0F" w:rsidRDefault="00DB7B09" w:rsidP="00DB7B09">
      <w:pPr>
        <w:spacing w:after="0" w:line="240" w:lineRule="auto"/>
        <w:jc w:val="both"/>
        <w:rPr>
          <w:rFonts w:ascii="Arial" w:hAnsi="Arial" w:cs="Arial"/>
          <w:color w:val="000000"/>
        </w:rPr>
      </w:pPr>
      <w:r w:rsidRPr="00DB7B09">
        <w:rPr>
          <w:rFonts w:ascii="Arial" w:hAnsi="Arial" w:cs="Arial"/>
          <w:color w:val="000000"/>
        </w:rPr>
        <w:t>El resultado de la Inspección virtual realizada permitió establecer el reporte del estado actual de los 400 Centros, donde se evidenció que 47 incumplieron con los registros requeridos, para lo cual se adelantarán las acciones pertinentes.</w:t>
      </w: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B7B09" w:rsidP="00D14F0F">
      <w:pPr>
        <w:spacing w:after="0" w:line="240" w:lineRule="auto"/>
        <w:jc w:val="both"/>
        <w:rPr>
          <w:rFonts w:ascii="Arial" w:hAnsi="Arial" w:cs="Arial"/>
          <w:color w:val="000000"/>
        </w:rPr>
      </w:pPr>
      <w:r w:rsidRPr="00DB7B09">
        <w:rPr>
          <w:rFonts w:ascii="Arial" w:hAnsi="Arial" w:cs="Arial"/>
          <w:color w:val="000000"/>
        </w:rPr>
        <w:t>Durante el 3er trimestre del año, el porcentaje de solicitudes gestionadas a través de expedición de CCITE, de autorizaciones extraordinarias, cancelaciones, autos de archivo y solicitudes en trámite, tanto para control único como de los asociados a los agentes de la cadena, fue del 62,9%, lo cual respecto a la meta del indicador fijado para ese periodo corresponde al 69,9%, lo que se enmarca dentro de un rango por fuera de lo esperado, esto se explica debido a un incremento importante en el número de solicitudes recibidas o en trámite durante el trimestre, ya que pasó de 4342 en el trimestre inmediatamente anterior a 5025 en el trimestre objeto del análisis. Esto a pesar de haberse visto incrementada la gestión en el número de solicitudes con respecto al último periodo evaluado. Esta situación se puede presentar, por un alto número de solicitudes nuevas radicadas, o por un alto volumen de solicitudes pendientes de respuesta a requerimientos o pendientes de visita y consulta de antecedentes, lo que puede ocasionar que una misma solicitud se mantenga en trámite durante varios meses consecutivos.</w:t>
      </w:r>
    </w:p>
    <w:p w:rsidR="00D14F0F" w:rsidRDefault="00D14F0F" w:rsidP="00D14F0F">
      <w:pPr>
        <w:spacing w:after="0" w:line="240" w:lineRule="auto"/>
        <w:jc w:val="both"/>
        <w:rPr>
          <w:rFonts w:ascii="Arial" w:hAnsi="Arial" w:cs="Arial"/>
          <w:color w:val="000000"/>
        </w:rPr>
      </w:pPr>
    </w:p>
    <w:p w:rsidR="00DB7B09" w:rsidRDefault="00DB7B09" w:rsidP="00D14F0F">
      <w:pPr>
        <w:spacing w:after="0" w:line="240" w:lineRule="auto"/>
        <w:jc w:val="both"/>
        <w:rPr>
          <w:rFonts w:ascii="Arial" w:hAnsi="Arial" w:cs="Arial"/>
          <w:color w:val="000000"/>
        </w:rPr>
      </w:pPr>
      <w:r w:rsidRPr="00DB7B09">
        <w:rPr>
          <w:rFonts w:ascii="Arial" w:hAnsi="Arial" w:cs="Arial"/>
          <w:color w:val="000000"/>
        </w:rPr>
        <w:t>Durante el 3er trimestre del año 2019, el porcentaje de cumplimiento en el número de licencias de importación tramitadas en un tiempo igual o menor a tres (3) días, fue del 99,9%, cifra superior a la meta establecida del 90%, respecto a la cual equivale a un 111%, lo cual está enmarcado dentro de un rango porcentual excelente.</w:t>
      </w: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De acuerdo a lo registrado en el Sistema de Información SICAAC, las resoluciones y EPX, con corte al mes de diciembre de 2019 se contabilizaron 38 entradas de solicitudes y 36 salidas de solicitudes; 2 se encuentran en trámite o en gestión por parte de los funcionarios asignados. </w:t>
      </w:r>
    </w:p>
    <w:p w:rsid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De acuerdo a lo registrado en el Sistema de Información SICAAC, las resoluciones y EPX, con corte al mes de diciembre de 2019 se contabilizaron 21 entradas y 20 salidas de solicitudes; 1 solicitud se encuentra en gestión o trámite por parte de los </w:t>
      </w:r>
      <w:r>
        <w:rPr>
          <w:rFonts w:ascii="Arial" w:hAnsi="Arial" w:cs="Arial"/>
          <w:color w:val="000000"/>
        </w:rPr>
        <w:t>funcionarios a</w:t>
      </w:r>
      <w:r w:rsidRPr="003356DA">
        <w:rPr>
          <w:rFonts w:ascii="Arial" w:hAnsi="Arial" w:cs="Arial"/>
          <w:color w:val="000000"/>
        </w:rPr>
        <w:t>signados.</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En el año 2019,  en total se recibieron y atendieron 9 solicitudes de este trámite, de las cuales atendió 8 y 1 se encuentra en gestión. El resultado del trámite fue el otorgamiento de aval a  5 entidades para impartir formación en Conciliación Extrajudicial en Derecho (Res. No. 479, 513, 1007, 1012, 1195). Asimismo, se recibieron y atendieron  9 solicitudes de este trámite, cuyo resultado fue el otorgamiento de aval a 6 entidades para impartir formación en Insolvencia de la Persona Natural no Comerciante (Res. No. 724, 818, 1025, 1026, 1369, 1663).</w:t>
      </w:r>
    </w:p>
    <w:p w:rsidR="003356DA" w:rsidRPr="003356DA" w:rsidRDefault="003356DA" w:rsidP="003356DA">
      <w:pPr>
        <w:spacing w:after="0" w:line="240" w:lineRule="auto"/>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Pr>
          <w:rFonts w:ascii="Arial" w:hAnsi="Arial" w:cs="Arial"/>
          <w:color w:val="000000"/>
        </w:rPr>
        <w:t xml:space="preserve">Nota: </w:t>
      </w:r>
      <w:r w:rsidRPr="003356DA">
        <w:rPr>
          <w:rFonts w:ascii="Arial" w:hAnsi="Arial" w:cs="Arial"/>
          <w:color w:val="000000"/>
        </w:rPr>
        <w:t>Los datos registrados mes a mes corresponde a  las atenciones brindadas a cada solicitud  entendidas como: entradas, salidas con observaciones, revisión, requerimientos, resoluciones, comunicaciones, archivo).</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En el año 2019 en total se recibieron 28 solicitudes oficiales de solicitudes de autorización para la creación de Centros de Conciliación y/o Arbitraje., de las cuales atendieron 26 y 2 se encuentran en gestión. El resultado del trámite fue la autorización de la creación de 20 Centros de Conciliación, Arbitraje y/o Amigable Composición (Res. No. 315, 316, 508, 735, 799, 964, 1004, 1023, 1058, 1075, 1076, 1180, 1181, 1350, 1456, 1585, 1668, 1669, 1782, 1822).</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lastRenderedPageBreak/>
        <w:t>Ajustes: Se corrigió la información reportada  en la variable 2 del mes de septiembre de 2019  debido a que no se  generaron 3 entradas de solicitudes sino 2, en razón a  su reasignación.</w:t>
      </w:r>
    </w:p>
    <w:p w:rsidR="003356DA" w:rsidRDefault="003356DA" w:rsidP="003356DA">
      <w:pPr>
        <w:spacing w:after="0" w:line="240" w:lineRule="auto"/>
        <w:jc w:val="both"/>
        <w:rPr>
          <w:rFonts w:ascii="Arial" w:hAnsi="Arial" w:cs="Arial"/>
          <w:color w:val="000000"/>
        </w:rPr>
      </w:pPr>
    </w:p>
    <w:p w:rsidR="00D14F0F" w:rsidRDefault="003356DA" w:rsidP="003356DA">
      <w:pPr>
        <w:spacing w:after="0" w:line="240" w:lineRule="auto"/>
        <w:jc w:val="both"/>
        <w:rPr>
          <w:rFonts w:ascii="Arial" w:hAnsi="Arial" w:cs="Arial"/>
          <w:color w:val="000000"/>
        </w:rPr>
      </w:pPr>
      <w:r>
        <w:rPr>
          <w:rFonts w:ascii="Arial" w:hAnsi="Arial" w:cs="Arial"/>
          <w:color w:val="000000"/>
        </w:rPr>
        <w:t xml:space="preserve">Nota: </w:t>
      </w:r>
      <w:r w:rsidRPr="003356DA">
        <w:rPr>
          <w:rFonts w:ascii="Arial" w:hAnsi="Arial" w:cs="Arial"/>
          <w:color w:val="000000"/>
        </w:rPr>
        <w:t>Los datos registrados mes a mes corresponde a  las atenciones brindadas a cada solicitud  entendidas como: entradas, salidas con observaciones, revisión, requerimientos, resoluciones, comunicaciones, archivo).</w:t>
      </w:r>
    </w:p>
    <w:p w:rsidR="0082464B" w:rsidRDefault="0082464B" w:rsidP="003356DA">
      <w:pPr>
        <w:spacing w:after="0" w:line="240" w:lineRule="auto"/>
        <w:jc w:val="both"/>
        <w:rPr>
          <w:rFonts w:ascii="Arial" w:hAnsi="Arial" w:cs="Arial"/>
          <w:color w:val="000000"/>
        </w:rPr>
      </w:pPr>
    </w:p>
    <w:p w:rsidR="0082464B" w:rsidRDefault="0082464B" w:rsidP="003356DA">
      <w:pPr>
        <w:spacing w:after="0" w:line="240" w:lineRule="auto"/>
        <w:jc w:val="both"/>
        <w:rPr>
          <w:rFonts w:ascii="Arial" w:hAnsi="Arial" w:cs="Arial"/>
          <w:color w:val="000000"/>
        </w:rPr>
      </w:pPr>
      <w:r w:rsidRPr="0082464B">
        <w:rPr>
          <w:rFonts w:ascii="Arial" w:hAnsi="Arial" w:cs="Arial"/>
          <w:color w:val="000000"/>
        </w:rPr>
        <w:t>Durante el cuarto trimestre del año, el porcentaje de solicitudes gestionadas a través de expedición de Certificados de carencia, de autorizaciones extraordinarias, cancelaciones, autos de archivo y solicitudes en trámite, tanto para control único como de los asociados a los agentes de la cadena de distribución de combustibles líquidos derivados del petróleo, fue del 71,4%, lo cual respecto a la meta del indicador fijado para ese periodo corresponde al 79,3%, que se enmarca dentro de un rango porcentual bueno. Esto representa un incremento respecto de los resultados obtenidos del indicador durante el trimestre anterior, y se posiciona como el resultado más alto del año, el cual finaliza con un porcentaje anual acumulado del 75,6% respecto a la meta fijada del 90%, lo que se cataloga en el rango porcentual como bueno.</w:t>
      </w:r>
    </w:p>
    <w:p w:rsidR="0082464B" w:rsidRDefault="0082464B" w:rsidP="003356DA">
      <w:pPr>
        <w:spacing w:after="0" w:line="240" w:lineRule="auto"/>
        <w:jc w:val="both"/>
        <w:rPr>
          <w:rFonts w:ascii="Arial" w:hAnsi="Arial" w:cs="Arial"/>
          <w:color w:val="000000"/>
        </w:rPr>
      </w:pPr>
    </w:p>
    <w:p w:rsidR="0082464B" w:rsidRDefault="0082464B" w:rsidP="003356DA">
      <w:pPr>
        <w:spacing w:after="0" w:line="240" w:lineRule="auto"/>
        <w:jc w:val="both"/>
        <w:rPr>
          <w:rFonts w:ascii="Arial" w:hAnsi="Arial" w:cs="Arial"/>
          <w:color w:val="000000"/>
        </w:rPr>
      </w:pPr>
      <w:r w:rsidRPr="0082464B">
        <w:rPr>
          <w:rFonts w:ascii="Arial" w:hAnsi="Arial" w:cs="Arial"/>
          <w:color w:val="000000"/>
        </w:rPr>
        <w:t>Durante el 4to trimestre del año 2019, el porcentaje de cumplimiento en el número de licencias de importación tramitadas en un tiempo igual o menor a tres (3) días, fue del 99,9%, cifra superior a la meta establecida del 90%, respecto a la cual equivale a un 111%, lo cual está enmarcado dentro de un rango porcentual excelente. El resultado anual acumulado del indicador fue del 96,5%, cifra que está por encima de la meta establecida del 90%, es decir el equivalente al 107,2% respecto a la misma.</w:t>
      </w:r>
    </w:p>
    <w:p w:rsidR="0082464B" w:rsidRDefault="0082464B" w:rsidP="003356DA">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Pr="00D14F0F" w:rsidRDefault="00800542" w:rsidP="00D14F0F">
      <w:pPr>
        <w:spacing w:after="0" w:line="240" w:lineRule="auto"/>
        <w:jc w:val="both"/>
        <w:rPr>
          <w:rFonts w:ascii="Arial" w:hAnsi="Arial" w:cs="Arial"/>
          <w:color w:val="000000"/>
        </w:rPr>
      </w:pPr>
    </w:p>
    <w:p w:rsidR="00D14F0F" w:rsidRPr="00D14F0F" w:rsidRDefault="00D14F0F" w:rsidP="00D14F0F">
      <w:pPr>
        <w:pStyle w:val="Prrafodelista"/>
        <w:rPr>
          <w:rFonts w:ascii="Arial" w:hAnsi="Arial" w:cs="Arial"/>
          <w:color w:val="000000"/>
        </w:rPr>
      </w:pPr>
      <w:r>
        <w:rPr>
          <w:noProof/>
          <w:color w:val="000000" w:themeColor="text1"/>
          <w:sz w:val="96"/>
          <w:szCs w:val="96"/>
          <w:lang w:eastAsia="es-CO"/>
        </w:rPr>
        <mc:AlternateContent>
          <mc:Choice Requires="wps">
            <w:drawing>
              <wp:anchor distT="0" distB="0" distL="114300" distR="114300" simplePos="0" relativeHeight="251701248" behindDoc="0" locked="0" layoutInCell="1" allowOverlap="1" wp14:anchorId="21A30482" wp14:editId="05F0C493">
                <wp:simplePos x="0" y="0"/>
                <wp:positionH relativeFrom="margin">
                  <wp:posOffset>571500</wp:posOffset>
                </wp:positionH>
                <wp:positionV relativeFrom="paragraph">
                  <wp:posOffset>102870</wp:posOffset>
                </wp:positionV>
                <wp:extent cx="5010150" cy="333375"/>
                <wp:effectExtent l="76200" t="95250" r="95250" b="142875"/>
                <wp:wrapNone/>
                <wp:docPr id="13" name="Proceso 13"/>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a:scene3d>
                          <a:camera prst="orthographicFront"/>
                          <a:lightRig rig="threePt" dir="t"/>
                        </a:scene3d>
                        <a:sp3d>
                          <a:bevelT prst="angle"/>
                        </a:sp3d>
                      </wps:spPr>
                      <wps:style>
                        <a:lnRef idx="0">
                          <a:schemeClr val="accent6"/>
                        </a:lnRef>
                        <a:fillRef idx="3">
                          <a:schemeClr val="accent6"/>
                        </a:fillRef>
                        <a:effectRef idx="3">
                          <a:schemeClr val="accent6"/>
                        </a:effectRef>
                        <a:fontRef idx="minor">
                          <a:schemeClr val="lt1"/>
                        </a:fontRef>
                      </wps:style>
                      <wps:txbx>
                        <w:txbxContent>
                          <w:p w:rsidR="0058407F" w:rsidRPr="00AC6204" w:rsidRDefault="0058407F"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30482" id="Proceso 13" o:spid="_x0000_s1040" type="#_x0000_t109" style="position:absolute;left:0;text-align:left;margin-left:45pt;margin-top:8.1pt;width:394.5pt;height:26.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" fillcolor="#77b64e [3033]" stroked="f">
                <v:fill color2="#6eaa46 [3177]" rotate="t" colors="0 #81b861;.5 #6fb242;1 #61a235" focus="100%" type="gradient">
                  <o:fill v:ext="view" type="gradientUnscaled"/>
                </v:fill>
                <v:shadow on="t" color="black" opacity="41287f" offset="0,1.5pt"/>
                <v:textbox>
                  <w:txbxContent>
                    <w:p w:rsidR="0058407F" w:rsidRPr="00AC6204" w:rsidRDefault="0058407F"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v:textbox>
                <w10:wrap anchorx="margin"/>
              </v:shape>
            </w:pict>
          </mc:Fallback>
        </mc:AlternateContent>
      </w: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82464B">
      <w:pPr>
        <w:spacing w:after="0" w:line="240" w:lineRule="auto"/>
        <w:jc w:val="center"/>
        <w:rPr>
          <w:noProof/>
          <w:lang w:eastAsia="es-CO"/>
        </w:rPr>
      </w:pPr>
    </w:p>
    <w:p w:rsidR="00D14F0F" w:rsidRDefault="00800542" w:rsidP="00D14F0F">
      <w:pPr>
        <w:spacing w:after="0" w:line="240" w:lineRule="auto"/>
        <w:jc w:val="center"/>
        <w:rPr>
          <w:rFonts w:ascii="Arial" w:hAnsi="Arial" w:cs="Arial"/>
          <w:color w:val="000000"/>
        </w:rPr>
      </w:pPr>
      <w:r>
        <w:rPr>
          <w:noProof/>
          <w:lang w:eastAsia="es-CO"/>
        </w:rPr>
        <w:drawing>
          <wp:inline distT="0" distB="0" distL="0" distR="0" wp14:anchorId="50AC64E9" wp14:editId="64DE4FD6">
            <wp:extent cx="4067175" cy="16457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0581" cy="1651144"/>
                    </a:xfrm>
                    <a:prstGeom prst="rect">
                      <a:avLst/>
                    </a:prstGeom>
                  </pic:spPr>
                </pic:pic>
              </a:graphicData>
            </a:graphic>
          </wp:inline>
        </w:drawing>
      </w:r>
    </w:p>
    <w:p w:rsidR="00D14F0F" w:rsidRDefault="00D14F0F"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58407F" w:rsidRDefault="0058407F" w:rsidP="00D14F0F">
      <w:pPr>
        <w:spacing w:after="0" w:line="240" w:lineRule="auto"/>
        <w:jc w:val="both"/>
        <w:rPr>
          <w:rFonts w:ascii="Arial" w:hAnsi="Arial" w:cs="Arial"/>
          <w:color w:val="000000"/>
        </w:rPr>
      </w:pPr>
    </w:p>
    <w:p w:rsidR="00D14F0F" w:rsidRDefault="00D14F0F" w:rsidP="00D14F0F">
      <w:pPr>
        <w:autoSpaceDE w:val="0"/>
        <w:autoSpaceDN w:val="0"/>
        <w:adjustRightInd w:val="0"/>
        <w:spacing w:after="0" w:line="240" w:lineRule="auto"/>
        <w:rPr>
          <w:rFonts w:ascii="Arial" w:hAnsi="Arial" w:cs="Arial"/>
          <w:b/>
          <w:bCs/>
          <w:color w:val="2F5497"/>
        </w:rPr>
      </w:pPr>
    </w:p>
    <w:p w:rsidR="00D14F0F" w:rsidRPr="00D14F0F" w:rsidRDefault="00D14F0F" w:rsidP="00D14F0F">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lastRenderedPageBreak/>
        <w:t>Proceso</w:t>
      </w:r>
      <w:r>
        <w:rPr>
          <w:rFonts w:ascii="Arial" w:hAnsi="Arial" w:cs="Arial"/>
          <w:b/>
          <w:bCs/>
          <w:color w:val="2F5497"/>
        </w:rPr>
        <w:t xml:space="preserve"> </w:t>
      </w:r>
      <w:r w:rsidRPr="00D14F0F">
        <w:rPr>
          <w:rFonts w:ascii="Arial" w:hAnsi="Arial" w:cs="Arial"/>
          <w:b/>
          <w:bCs/>
          <w:color w:val="2F5497"/>
        </w:rPr>
        <w:t>Gestión Administrativa</w:t>
      </w:r>
    </w:p>
    <w:p w:rsidR="00D14F0F" w:rsidRPr="00D14F0F" w:rsidRDefault="00D14F0F" w:rsidP="00D14F0F">
      <w:pPr>
        <w:widowControl w:val="0"/>
        <w:spacing w:after="120" w:line="285" w:lineRule="auto"/>
        <w:rPr>
          <w:rFonts w:ascii="Georgia" w:eastAsia="Times New Roman" w:hAnsi="Georgia" w:cs="Times New Roman"/>
          <w:color w:val="000000"/>
          <w:kern w:val="28"/>
          <w:sz w:val="20"/>
          <w:szCs w:val="20"/>
          <w:lang w:eastAsia="es-CO"/>
          <w14:cntxtAlts/>
        </w:rPr>
      </w:pPr>
      <w:r w:rsidRPr="00D14F0F">
        <w:rPr>
          <w:rFonts w:ascii="Georgia" w:eastAsia="Times New Roman" w:hAnsi="Georgia" w:cs="Times New Roman"/>
          <w:color w:val="000000"/>
          <w:kern w:val="28"/>
          <w:sz w:val="20"/>
          <w:szCs w:val="20"/>
          <w:lang w:eastAsia="es-CO"/>
          <w14:cntxtAlts/>
        </w:rPr>
        <w:t> </w:t>
      </w:r>
    </w:p>
    <w:p w:rsidR="00D14F0F" w:rsidRDefault="00D14F0F" w:rsidP="00D14F0F">
      <w:pPr>
        <w:spacing w:after="0" w:line="240" w:lineRule="auto"/>
        <w:jc w:val="center"/>
        <w:rPr>
          <w:rFonts w:ascii="Arial" w:hAnsi="Arial" w:cs="Arial"/>
          <w:color w:val="000000"/>
        </w:rPr>
      </w:pPr>
      <w:r w:rsidRPr="00D14F0F">
        <w:rPr>
          <w:noProof/>
          <w:lang w:eastAsia="es-CO"/>
        </w:rPr>
        <w:drawing>
          <wp:inline distT="0" distB="0" distL="0" distR="0">
            <wp:extent cx="2343150" cy="21431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D14F0F" w:rsidRDefault="00D14F0F" w:rsidP="00D14F0F">
      <w:pPr>
        <w:spacing w:after="0" w:line="240" w:lineRule="auto"/>
        <w:jc w:val="center"/>
        <w:rPr>
          <w:rFonts w:ascii="Arial" w:hAnsi="Arial" w:cs="Arial"/>
          <w:color w:val="000000"/>
        </w:rPr>
      </w:pPr>
    </w:p>
    <w:p w:rsidR="00DB7B09" w:rsidRPr="00DB7B09" w:rsidRDefault="00DB7B09" w:rsidP="00DB7B09">
      <w:pPr>
        <w:autoSpaceDE w:val="0"/>
        <w:autoSpaceDN w:val="0"/>
        <w:adjustRightInd w:val="0"/>
        <w:spacing w:after="0" w:line="240" w:lineRule="auto"/>
        <w:jc w:val="both"/>
        <w:rPr>
          <w:rFonts w:ascii="Arial" w:hAnsi="Arial" w:cs="Arial"/>
          <w:bCs/>
          <w:color w:val="2F5497"/>
        </w:rPr>
      </w:pPr>
    </w:p>
    <w:p w:rsidR="00DB7B09" w:rsidRPr="00DB7B09" w:rsidRDefault="00DB7B09" w:rsidP="00DB7B0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DB7B09">
        <w:rPr>
          <w:rFonts w:ascii="Arial" w:hAnsi="Arial" w:cs="Arial"/>
          <w:bCs/>
          <w:color w:val="000000" w:themeColor="text1"/>
        </w:rPr>
        <w:t xml:space="preserve">Se ejecutaron 3 cierres los correspondientes a los meses de diciembre de 2018, enero y febrero de 2019, se realizaron los respectivos movimientos de ingresos y salidas y se presentaron los reportes al área de contabilidad.  Segundo Trimestre: Se ejecutaron 3 cierres los correspondientes a los meses de marzo, abril y mayo de 2019; se realizaron los respectivos movimientos de ingresos y salidas y se presentaron los reportes al área de contabilidad. Tercer Trimestre: Se ejecutaron 3 cierres los correspondientes a los meses de junio, Julio y agosto de 2019, se realizaron los respectivos movimientos de ingresos y salidas y se presentaron los reportes al área de contabilidad.  </w:t>
      </w:r>
    </w:p>
    <w:p w:rsidR="00DB7B09" w:rsidRPr="00DB7B09" w:rsidRDefault="00DB7B09" w:rsidP="0056191E">
      <w:pPr>
        <w:autoSpaceDE w:val="0"/>
        <w:autoSpaceDN w:val="0"/>
        <w:adjustRightInd w:val="0"/>
        <w:spacing w:after="0" w:line="240" w:lineRule="auto"/>
        <w:rPr>
          <w:rFonts w:ascii="Arial" w:hAnsi="Arial" w:cs="Arial"/>
          <w:bCs/>
          <w:color w:val="000000" w:themeColor="text1"/>
        </w:rPr>
      </w:pPr>
    </w:p>
    <w:p w:rsidR="0082464B" w:rsidRDefault="00DB7B09"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DB7B09">
        <w:rPr>
          <w:rFonts w:ascii="Arial" w:hAnsi="Arial" w:cs="Arial"/>
          <w:bCs/>
          <w:color w:val="000000" w:themeColor="text1"/>
        </w:rPr>
        <w:t>Para este periodo no se tiene meta programada. Segundo trimestre: Para este periodo no se tiene meta programada.  Tercer Trimestre: Actividad programada para el mes de noviembre de 2019, sin embargo y con el fin de adelantar la realización de la misma,  se elaboró el listado de bienes para la baja y se inició el proceso de certificación de cada uno de esos bienes con el fin de presentarlos para aprobación ante el próximo Comité de Bajas.</w:t>
      </w:r>
    </w:p>
    <w:p w:rsidR="0082464B" w:rsidRPr="0082464B" w:rsidRDefault="0082464B" w:rsidP="0082464B">
      <w:pPr>
        <w:autoSpaceDE w:val="0"/>
        <w:autoSpaceDN w:val="0"/>
        <w:adjustRightInd w:val="0"/>
        <w:spacing w:after="0" w:line="240" w:lineRule="auto"/>
        <w:jc w:val="both"/>
        <w:rPr>
          <w:rFonts w:ascii="Arial" w:hAnsi="Arial" w:cs="Arial"/>
          <w:bCs/>
          <w:color w:val="000000" w:themeColor="text1"/>
        </w:rPr>
      </w:pPr>
    </w:p>
    <w:p w:rsidR="00DB7B09" w:rsidRDefault="0082464B" w:rsidP="00DB7B0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S</w:t>
      </w:r>
      <w:r w:rsidR="00DB7B09" w:rsidRPr="00DB7B09">
        <w:rPr>
          <w:rFonts w:ascii="Arial" w:hAnsi="Arial" w:cs="Arial"/>
          <w:bCs/>
          <w:color w:val="000000" w:themeColor="text1"/>
        </w:rPr>
        <w:t>e dio inicio a la verificación física de inventarios personalizados en el Ministerio.  Con corte a 31 de marzo se tiene adelantado un 70% de la verificación total.     Segundo Trimestre: No se tiene meta programada para este trimestre- Sin embargo se continuó con la verificación física de inventarios personalizados en el Ministerio.  Tercer Trimestre: Se culminó con el 100% del proceso de verificación física de inventarios (551 inventarios).</w:t>
      </w:r>
    </w:p>
    <w:p w:rsidR="0082464B" w:rsidRPr="0082464B" w:rsidRDefault="0082464B" w:rsidP="0082464B">
      <w:pPr>
        <w:pStyle w:val="Prrafodelista"/>
        <w:rPr>
          <w:rFonts w:ascii="Arial" w:hAnsi="Arial" w:cs="Arial"/>
          <w:bCs/>
          <w:color w:val="000000" w:themeColor="text1"/>
        </w:rPr>
      </w:pPr>
    </w:p>
    <w:p w:rsid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Al mes de diciembre s</w:t>
      </w:r>
      <w:r w:rsidRPr="0082464B">
        <w:rPr>
          <w:rFonts w:ascii="Arial" w:hAnsi="Arial" w:cs="Arial"/>
          <w:bCs/>
          <w:color w:val="000000" w:themeColor="text1"/>
        </w:rPr>
        <w:t>e culminó con el 100% del proceso de verificación física de inventarios (551 inventarios).</w:t>
      </w:r>
    </w:p>
    <w:p w:rsidR="0082464B" w:rsidRPr="0082464B" w:rsidRDefault="0082464B" w:rsidP="0082464B">
      <w:pPr>
        <w:pStyle w:val="Prrafodelista"/>
        <w:rPr>
          <w:rFonts w:ascii="Arial" w:hAnsi="Arial" w:cs="Arial"/>
          <w:bCs/>
          <w:color w:val="000000" w:themeColor="text1"/>
        </w:rPr>
      </w:pPr>
    </w:p>
    <w:p w:rsid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Se ejecutaron 3 cierres los correspondientes a los meses de septiembre, octubre y noviembre de 2019,  se  realizaron los respectivos  movimientos de ingresos y salidas  y se presentaron los  reportes  al área de contabilidad</w:t>
      </w:r>
      <w:r>
        <w:rPr>
          <w:rFonts w:ascii="Arial" w:hAnsi="Arial" w:cs="Arial"/>
          <w:bCs/>
          <w:color w:val="000000" w:themeColor="text1"/>
        </w:rPr>
        <w:t>.</w:t>
      </w:r>
    </w:p>
    <w:p w:rsidR="0082464B" w:rsidRPr="0082464B" w:rsidRDefault="0082464B" w:rsidP="0082464B">
      <w:pPr>
        <w:pStyle w:val="Prrafodelista"/>
        <w:rPr>
          <w:rFonts w:ascii="Arial" w:hAnsi="Arial" w:cs="Arial"/>
          <w:bCs/>
          <w:color w:val="000000" w:themeColor="text1"/>
        </w:rPr>
      </w:pPr>
    </w:p>
    <w:p w:rsidR="0082464B" w:rsidRP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Se actualizaron las hojas de vida de cada uno de los automotores con que cuenta el Ministerio.  Se reportan 20 vehículos.</w:t>
      </w:r>
    </w:p>
    <w:p w:rsidR="00AB61E0" w:rsidRDefault="00AB61E0" w:rsidP="00AB61E0">
      <w:pPr>
        <w:pStyle w:val="Prrafodelista"/>
        <w:autoSpaceDE w:val="0"/>
        <w:autoSpaceDN w:val="0"/>
        <w:adjustRightInd w:val="0"/>
        <w:spacing w:after="0" w:line="240" w:lineRule="auto"/>
        <w:jc w:val="both"/>
        <w:rPr>
          <w:rFonts w:ascii="Arial" w:hAnsi="Arial" w:cs="Arial"/>
          <w:bCs/>
          <w:color w:val="000000" w:themeColor="text1"/>
        </w:rPr>
      </w:pPr>
    </w:p>
    <w:p w:rsidR="0058407F" w:rsidRPr="00DB7B09" w:rsidRDefault="0058407F" w:rsidP="00AB61E0">
      <w:pPr>
        <w:pStyle w:val="Prrafodelista"/>
        <w:autoSpaceDE w:val="0"/>
        <w:autoSpaceDN w:val="0"/>
        <w:adjustRightInd w:val="0"/>
        <w:spacing w:after="0" w:line="240" w:lineRule="auto"/>
        <w:jc w:val="both"/>
        <w:rPr>
          <w:rFonts w:ascii="Arial" w:hAnsi="Arial" w:cs="Arial"/>
          <w:bCs/>
          <w:color w:val="000000" w:themeColor="text1"/>
        </w:rPr>
      </w:pPr>
    </w:p>
    <w:p w:rsidR="00DB7B09" w:rsidRPr="00DB7B09" w:rsidRDefault="00DB7B09" w:rsidP="00DB7B09">
      <w:pPr>
        <w:autoSpaceDE w:val="0"/>
        <w:autoSpaceDN w:val="0"/>
        <w:adjustRightInd w:val="0"/>
        <w:spacing w:after="0" w:line="240" w:lineRule="auto"/>
        <w:jc w:val="both"/>
        <w:rPr>
          <w:rFonts w:ascii="Arial" w:hAnsi="Arial" w:cs="Arial"/>
          <w:bCs/>
          <w:color w:val="000000" w:themeColor="text1"/>
        </w:rPr>
      </w:pPr>
    </w:p>
    <w:p w:rsidR="00DB7B09" w:rsidRDefault="00DB7B09" w:rsidP="0056191E">
      <w:pPr>
        <w:autoSpaceDE w:val="0"/>
        <w:autoSpaceDN w:val="0"/>
        <w:adjustRightInd w:val="0"/>
        <w:spacing w:after="0" w:line="240" w:lineRule="auto"/>
        <w:rPr>
          <w:rFonts w:ascii="Arial" w:hAnsi="Arial" w:cs="Arial"/>
          <w:b/>
          <w:bCs/>
          <w:color w:val="2F5497"/>
        </w:rPr>
      </w:pPr>
    </w:p>
    <w:p w:rsidR="0056191E" w:rsidRDefault="0056191E" w:rsidP="0056191E">
      <w:pPr>
        <w:autoSpaceDE w:val="0"/>
        <w:autoSpaceDN w:val="0"/>
        <w:adjustRightInd w:val="0"/>
        <w:spacing w:after="0" w:line="240" w:lineRule="auto"/>
        <w:rPr>
          <w:rFonts w:ascii="Arial" w:hAnsi="Arial" w:cs="Arial"/>
          <w:b/>
          <w:bCs/>
          <w:color w:val="2F5497"/>
        </w:rPr>
      </w:pPr>
      <w:r w:rsidRPr="0056191E">
        <w:rPr>
          <w:rFonts w:ascii="Arial" w:hAnsi="Arial" w:cs="Arial"/>
          <w:b/>
          <w:bCs/>
          <w:color w:val="2F5497"/>
        </w:rPr>
        <w:t>Proceso</w:t>
      </w:r>
      <w:r>
        <w:rPr>
          <w:rFonts w:ascii="Arial" w:hAnsi="Arial" w:cs="Arial"/>
          <w:b/>
          <w:bCs/>
          <w:color w:val="2F5497"/>
        </w:rPr>
        <w:t xml:space="preserve"> </w:t>
      </w:r>
      <w:r w:rsidRPr="0056191E">
        <w:rPr>
          <w:rFonts w:ascii="Arial" w:hAnsi="Arial" w:cs="Arial"/>
          <w:b/>
          <w:bCs/>
          <w:color w:val="2F5497"/>
        </w:rPr>
        <w:t>Gestión Financiera</w:t>
      </w:r>
    </w:p>
    <w:p w:rsidR="0056191E" w:rsidRPr="0056191E" w:rsidRDefault="0056191E" w:rsidP="0056191E">
      <w:pPr>
        <w:autoSpaceDE w:val="0"/>
        <w:autoSpaceDN w:val="0"/>
        <w:adjustRightInd w:val="0"/>
        <w:spacing w:after="0" w:line="240" w:lineRule="auto"/>
        <w:rPr>
          <w:rFonts w:ascii="Arial" w:hAnsi="Arial" w:cs="Arial"/>
          <w:b/>
          <w:bCs/>
          <w:color w:val="2F5497"/>
        </w:rPr>
      </w:pPr>
    </w:p>
    <w:p w:rsidR="0056191E" w:rsidRPr="0056191E" w:rsidRDefault="0082464B" w:rsidP="0056191E">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7C9E8169" wp14:editId="6B7EDA09">
            <wp:extent cx="2305050" cy="17621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5050" cy="1762125"/>
                    </a:xfrm>
                    <a:prstGeom prst="rect">
                      <a:avLst/>
                    </a:prstGeom>
                  </pic:spPr>
                </pic:pic>
              </a:graphicData>
            </a:graphic>
          </wp:inline>
        </w:drawing>
      </w: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r w:rsidRPr="0056191E">
        <w:rPr>
          <w:rFonts w:ascii="Arial" w:hAnsi="Arial" w:cs="Arial"/>
          <w:color w:val="000000"/>
        </w:rPr>
        <w:t xml:space="preserve">Dentro de las actividades realizadas por el grupo de Gestión Financiera le  siendo este el único responsable de reportar indicadores para el aporte a este proceso se encuentran en un cumplimiento del </w:t>
      </w:r>
      <w:r w:rsidR="0082464B">
        <w:rPr>
          <w:rFonts w:ascii="Arial" w:hAnsi="Arial" w:cs="Arial"/>
          <w:color w:val="000000"/>
        </w:rPr>
        <w:t>100</w:t>
      </w:r>
      <w:r w:rsidRPr="0056191E">
        <w:rPr>
          <w:rFonts w:ascii="Arial" w:hAnsi="Arial" w:cs="Arial"/>
          <w:color w:val="000000"/>
        </w:rPr>
        <w:t>%:</w:t>
      </w:r>
    </w:p>
    <w:p w:rsidR="0056191E" w:rsidRDefault="0056191E" w:rsidP="0056191E">
      <w:pPr>
        <w:spacing w:after="0" w:line="240" w:lineRule="auto"/>
        <w:ind w:left="360"/>
        <w:jc w:val="both"/>
        <w:rPr>
          <w:rFonts w:ascii="Arial" w:hAnsi="Arial" w:cs="Arial"/>
          <w:color w:val="000000"/>
        </w:rPr>
      </w:pPr>
    </w:p>
    <w:p w:rsidR="0056191E" w:rsidRPr="0056191E" w:rsidRDefault="0056191E" w:rsidP="0056191E">
      <w:pPr>
        <w:spacing w:after="0" w:line="240" w:lineRule="auto"/>
        <w:ind w:left="360"/>
        <w:jc w:val="both"/>
        <w:rPr>
          <w:rFonts w:ascii="Arial" w:hAnsi="Arial" w:cs="Arial"/>
          <w:color w:val="000000"/>
        </w:rPr>
      </w:pPr>
    </w:p>
    <w:p w:rsidR="00143FF2" w:rsidRDefault="00C11A59" w:rsidP="00C11A5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El indicador registro, actualización y presentación de los Estados Financieros ante la Contaduría General de la Nación se cumplió en un 100%, ya que se transmitió vía CHIP los Estados Financieros de los meses de julio, agosto y septiembre de 2019, el día 31 de octubre de 2019</w:t>
      </w:r>
      <w:proofErr w:type="gramStart"/>
      <w:r w:rsidRPr="00C11A59">
        <w:rPr>
          <w:rFonts w:ascii="Arial" w:hAnsi="Arial" w:cs="Arial"/>
          <w:bCs/>
          <w:color w:val="000000" w:themeColor="text1"/>
        </w:rPr>
        <w:t>.</w:t>
      </w:r>
      <w:r w:rsidR="00143FF2" w:rsidRPr="00DB7B09">
        <w:rPr>
          <w:rFonts w:ascii="Arial" w:hAnsi="Arial" w:cs="Arial"/>
          <w:bCs/>
          <w:color w:val="000000" w:themeColor="text1"/>
        </w:rPr>
        <w:t>.</w:t>
      </w:r>
      <w:proofErr w:type="gramEnd"/>
    </w:p>
    <w:p w:rsidR="00143FF2" w:rsidRPr="00DB7B09" w:rsidRDefault="00143FF2" w:rsidP="00143FF2">
      <w:pPr>
        <w:pStyle w:val="Prrafodelista"/>
        <w:rPr>
          <w:rFonts w:ascii="Arial" w:hAnsi="Arial" w:cs="Arial"/>
          <w:bCs/>
          <w:color w:val="000000" w:themeColor="text1"/>
        </w:rPr>
      </w:pPr>
    </w:p>
    <w:p w:rsidR="00C11A59" w:rsidRDefault="0082464B" w:rsidP="00C11A5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 xml:space="preserve">En el indicador Expedición de Certificados de Disponibilidad Presupuestal se puede analizar que durante el cuarto trimestre del año 2019 el mayor número de </w:t>
      </w:r>
      <w:proofErr w:type="spellStart"/>
      <w:r w:rsidRPr="0082464B">
        <w:rPr>
          <w:rFonts w:ascii="Arial" w:hAnsi="Arial" w:cs="Arial"/>
          <w:bCs/>
          <w:color w:val="000000" w:themeColor="text1"/>
        </w:rPr>
        <w:t>CDPs</w:t>
      </w:r>
      <w:proofErr w:type="spellEnd"/>
      <w:r w:rsidRPr="0082464B">
        <w:rPr>
          <w:rFonts w:ascii="Arial" w:hAnsi="Arial" w:cs="Arial"/>
          <w:bCs/>
          <w:color w:val="000000" w:themeColor="text1"/>
        </w:rPr>
        <w:t xml:space="preserve"> se expidió en el mes de noviembre. Las solicitudes recibidas s</w:t>
      </w:r>
      <w:r>
        <w:rPr>
          <w:rFonts w:ascii="Arial" w:hAnsi="Arial" w:cs="Arial"/>
          <w:bCs/>
          <w:color w:val="000000" w:themeColor="text1"/>
        </w:rPr>
        <w:t>e tramitaron en su totalidad.</w:t>
      </w:r>
    </w:p>
    <w:p w:rsidR="00C11A59" w:rsidRPr="00C11A59" w:rsidRDefault="00C11A59" w:rsidP="00C11A59">
      <w:pPr>
        <w:pStyle w:val="Prrafodelista"/>
        <w:rPr>
          <w:rFonts w:ascii="Arial" w:hAnsi="Arial" w:cs="Arial"/>
          <w:bCs/>
          <w:color w:val="000000" w:themeColor="text1"/>
        </w:rPr>
      </w:pPr>
    </w:p>
    <w:p w:rsidR="00C11A59" w:rsidRPr="00C11A59" w:rsidRDefault="00C11A59" w:rsidP="0058407F">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 xml:space="preserve">Para el  cuarto trimestre del año 2019 el indicador Expedición de Registros Presupuestales nos muestra que la mayor cantidad de expedición de </w:t>
      </w:r>
      <w:proofErr w:type="spellStart"/>
      <w:r w:rsidRPr="00C11A59">
        <w:rPr>
          <w:rFonts w:ascii="Arial" w:hAnsi="Arial" w:cs="Arial"/>
          <w:bCs/>
          <w:color w:val="000000" w:themeColor="text1"/>
        </w:rPr>
        <w:t>RPs</w:t>
      </w:r>
      <w:proofErr w:type="spellEnd"/>
      <w:r w:rsidRPr="00C11A59">
        <w:rPr>
          <w:rFonts w:ascii="Arial" w:hAnsi="Arial" w:cs="Arial"/>
          <w:bCs/>
          <w:color w:val="000000" w:themeColor="text1"/>
        </w:rPr>
        <w:t xml:space="preserve"> se realizó en el mes noviembre de 2019, Las solicitudes  recibidas se tramitaron e</w:t>
      </w:r>
      <w:r>
        <w:rPr>
          <w:rFonts w:ascii="Arial" w:hAnsi="Arial" w:cs="Arial"/>
          <w:bCs/>
          <w:color w:val="000000" w:themeColor="text1"/>
        </w:rPr>
        <w:t>n su totalidad</w:t>
      </w:r>
    </w:p>
    <w:p w:rsidR="00C11A59" w:rsidRPr="00C11A59" w:rsidRDefault="00C11A59" w:rsidP="00C11A59">
      <w:pPr>
        <w:pStyle w:val="Prrafodelista"/>
        <w:autoSpaceDE w:val="0"/>
        <w:autoSpaceDN w:val="0"/>
        <w:adjustRightInd w:val="0"/>
        <w:spacing w:after="0" w:line="240" w:lineRule="auto"/>
        <w:jc w:val="both"/>
        <w:rPr>
          <w:rFonts w:ascii="Arial" w:hAnsi="Arial" w:cs="Arial"/>
          <w:bCs/>
          <w:color w:val="000000" w:themeColor="text1"/>
        </w:rPr>
      </w:pPr>
    </w:p>
    <w:p w:rsidR="00143FF2" w:rsidRDefault="00C11A59" w:rsidP="00143FF2">
      <w:pPr>
        <w:pStyle w:val="Prrafodelista"/>
        <w:rPr>
          <w:rFonts w:ascii="Arial" w:hAnsi="Arial" w:cs="Arial"/>
          <w:bCs/>
          <w:color w:val="000000" w:themeColor="text1"/>
        </w:rPr>
      </w:pPr>
      <w:r w:rsidRPr="00C11A59">
        <w:rPr>
          <w:rFonts w:ascii="Arial" w:hAnsi="Arial" w:cs="Arial"/>
          <w:bCs/>
          <w:color w:val="000000" w:themeColor="text1"/>
        </w:rPr>
        <w:t>Se puede analizar que durante el cuarto  trimestre del año 2019 el número de modificaciones presupuestales recibid</w:t>
      </w:r>
      <w:r>
        <w:rPr>
          <w:rFonts w:ascii="Arial" w:hAnsi="Arial" w:cs="Arial"/>
          <w:bCs/>
          <w:color w:val="000000" w:themeColor="text1"/>
        </w:rPr>
        <w:t>as se tramitaron en su totalidad.</w:t>
      </w:r>
    </w:p>
    <w:p w:rsidR="00C11A59" w:rsidRPr="00AB61E0" w:rsidRDefault="00C11A59" w:rsidP="00143FF2">
      <w:pPr>
        <w:pStyle w:val="Prrafodelista"/>
        <w:rPr>
          <w:rFonts w:ascii="Arial" w:hAnsi="Arial" w:cs="Arial"/>
          <w:bCs/>
          <w:color w:val="000000" w:themeColor="text1"/>
        </w:rPr>
      </w:pPr>
    </w:p>
    <w:p w:rsidR="00143FF2" w:rsidRDefault="00143FF2" w:rsidP="00143FF2">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AB61E0">
        <w:rPr>
          <w:rFonts w:ascii="Arial" w:hAnsi="Arial" w:cs="Arial"/>
          <w:bCs/>
          <w:color w:val="000000" w:themeColor="text1"/>
        </w:rPr>
        <w:t xml:space="preserve">correctivos de acuerdo a las solicitudes de funcionarios y contratistas, adicionalmente se suscribió la Orden de Compra de materiales a través de  la Bolsa Mercantil No. 35850492,  el pasado 14/08/2019 y debido a ello se contrataron dos personas más en la </w:t>
      </w:r>
      <w:r w:rsidR="00C11A59">
        <w:rPr>
          <w:rFonts w:ascii="Arial" w:hAnsi="Arial" w:cs="Arial"/>
          <w:bCs/>
          <w:color w:val="000000" w:themeColor="text1"/>
        </w:rPr>
        <w:t>orden 33923 de Colombia Compra.</w:t>
      </w:r>
    </w:p>
    <w:p w:rsidR="00C11A59" w:rsidRDefault="00C11A59" w:rsidP="00143FF2">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p>
    <w:p w:rsidR="00C11A59" w:rsidRDefault="00C11A59" w:rsidP="005F60B5">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Se puede establecer que el indicador pagos de compromisos se ha cumplido la meta del 100%, es decir que todas las cuentas de cobro radicadas en el área de Tesorería del Grupo de Gestión Administrativa, Financiera y Contable, se les dio trámite de pago, demostrando una eficiente ejecución.</w:t>
      </w:r>
    </w:p>
    <w:p w:rsidR="0058407F" w:rsidRDefault="0058407F" w:rsidP="0058407F">
      <w:pPr>
        <w:pStyle w:val="Prrafodelista"/>
        <w:autoSpaceDE w:val="0"/>
        <w:autoSpaceDN w:val="0"/>
        <w:adjustRightInd w:val="0"/>
        <w:spacing w:after="0" w:line="240" w:lineRule="auto"/>
        <w:jc w:val="both"/>
        <w:rPr>
          <w:rFonts w:ascii="Arial" w:hAnsi="Arial" w:cs="Arial"/>
          <w:bCs/>
          <w:color w:val="000000" w:themeColor="text1"/>
        </w:rPr>
      </w:pPr>
    </w:p>
    <w:p w:rsidR="0058407F" w:rsidRPr="0058407F" w:rsidRDefault="0058407F" w:rsidP="0058407F">
      <w:pPr>
        <w:pStyle w:val="Prrafodelista"/>
        <w:autoSpaceDE w:val="0"/>
        <w:autoSpaceDN w:val="0"/>
        <w:adjustRightInd w:val="0"/>
        <w:spacing w:after="0" w:line="240" w:lineRule="auto"/>
        <w:jc w:val="both"/>
        <w:rPr>
          <w:rFonts w:ascii="Arial" w:hAnsi="Arial" w:cs="Arial"/>
          <w:bCs/>
          <w:color w:val="000000" w:themeColor="text1"/>
        </w:rPr>
      </w:pPr>
    </w:p>
    <w:p w:rsidR="009C4ABD" w:rsidRDefault="009C4ABD" w:rsidP="005F60B5">
      <w:pPr>
        <w:spacing w:after="0" w:line="240" w:lineRule="auto"/>
        <w:jc w:val="both"/>
        <w:rPr>
          <w:rFonts w:ascii="Arial" w:hAnsi="Arial" w:cs="Arial"/>
          <w:color w:val="000000"/>
        </w:rPr>
      </w:pPr>
    </w:p>
    <w:p w:rsidR="005F60B5" w:rsidRPr="005F60B5" w:rsidRDefault="005F60B5" w:rsidP="005F60B5">
      <w:pPr>
        <w:autoSpaceDE w:val="0"/>
        <w:autoSpaceDN w:val="0"/>
        <w:adjustRightInd w:val="0"/>
        <w:spacing w:after="0" w:line="240" w:lineRule="auto"/>
        <w:rPr>
          <w:rFonts w:ascii="Arial" w:hAnsi="Arial" w:cs="Arial"/>
          <w:b/>
          <w:bCs/>
          <w:color w:val="2F5497"/>
        </w:rPr>
      </w:pPr>
      <w:r w:rsidRPr="005F60B5">
        <w:rPr>
          <w:rFonts w:ascii="Arial" w:hAnsi="Arial" w:cs="Arial"/>
          <w:b/>
          <w:bCs/>
          <w:color w:val="2F5497"/>
        </w:rPr>
        <w:lastRenderedPageBreak/>
        <w:t>Proceso Gestión de Recursos Informáticos</w:t>
      </w:r>
    </w:p>
    <w:p w:rsidR="005F60B5" w:rsidRPr="005F60B5" w:rsidRDefault="005F60B5" w:rsidP="005F60B5">
      <w:pPr>
        <w:widowControl w:val="0"/>
        <w:spacing w:after="120" w:line="285" w:lineRule="auto"/>
        <w:rPr>
          <w:rFonts w:ascii="Georgia" w:eastAsia="Times New Roman" w:hAnsi="Georgia" w:cs="Times New Roman"/>
          <w:color w:val="000000"/>
          <w:kern w:val="28"/>
          <w:sz w:val="20"/>
          <w:szCs w:val="20"/>
          <w:lang w:eastAsia="es-CO"/>
          <w14:cntxtAlts/>
        </w:rPr>
      </w:pPr>
      <w:r w:rsidRPr="005F60B5">
        <w:rPr>
          <w:rFonts w:ascii="Georgia" w:eastAsia="Times New Roman" w:hAnsi="Georgia" w:cs="Times New Roman"/>
          <w:color w:val="000000"/>
          <w:kern w:val="28"/>
          <w:sz w:val="20"/>
          <w:szCs w:val="20"/>
          <w:lang w:eastAsia="es-CO"/>
          <w14:cntxtAlts/>
        </w:rPr>
        <w:t> </w:t>
      </w:r>
    </w:p>
    <w:p w:rsidR="005F60B5" w:rsidRDefault="00C11A59" w:rsidP="009C4ABD">
      <w:pPr>
        <w:spacing w:after="0" w:line="240" w:lineRule="auto"/>
        <w:jc w:val="center"/>
        <w:rPr>
          <w:rFonts w:ascii="Arial" w:hAnsi="Arial" w:cs="Arial"/>
          <w:color w:val="000000"/>
        </w:rPr>
      </w:pPr>
      <w:r>
        <w:rPr>
          <w:noProof/>
          <w:lang w:eastAsia="es-CO"/>
        </w:rPr>
        <w:drawing>
          <wp:inline distT="0" distB="0" distL="0" distR="0" wp14:anchorId="47CE87F1" wp14:editId="52713E5F">
            <wp:extent cx="2305050" cy="18097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5050" cy="1809750"/>
                    </a:xfrm>
                    <a:prstGeom prst="rect">
                      <a:avLst/>
                    </a:prstGeom>
                  </pic:spPr>
                </pic:pic>
              </a:graphicData>
            </a:graphic>
          </wp:inline>
        </w:drawing>
      </w:r>
    </w:p>
    <w:p w:rsidR="00F3136C" w:rsidRDefault="00F3136C" w:rsidP="009C4ABD">
      <w:pPr>
        <w:spacing w:after="0" w:line="240" w:lineRule="auto"/>
        <w:jc w:val="center"/>
        <w:rPr>
          <w:rFonts w:ascii="Arial" w:hAnsi="Arial" w:cs="Arial"/>
          <w:color w:val="000000"/>
        </w:rPr>
      </w:pPr>
    </w:p>
    <w:p w:rsidR="00F3136C" w:rsidRDefault="00F3136C" w:rsidP="009C4ABD">
      <w:pPr>
        <w:spacing w:after="0" w:line="240" w:lineRule="auto"/>
        <w:jc w:val="center"/>
        <w:rPr>
          <w:rFonts w:ascii="Arial" w:hAnsi="Arial" w:cs="Arial"/>
          <w:color w:val="000000"/>
        </w:rPr>
      </w:pPr>
    </w:p>
    <w:p w:rsidR="00860532" w:rsidRDefault="00F3136C" w:rsidP="00860532">
      <w:pPr>
        <w:spacing w:after="0" w:line="240" w:lineRule="auto"/>
        <w:jc w:val="both"/>
        <w:rPr>
          <w:rFonts w:ascii="Arial" w:hAnsi="Arial" w:cs="Arial"/>
          <w:color w:val="000000"/>
        </w:rPr>
      </w:pPr>
      <w:r w:rsidRPr="00F3136C">
        <w:rPr>
          <w:rFonts w:ascii="Arial" w:hAnsi="Arial" w:cs="Arial"/>
          <w:color w:val="000000"/>
        </w:rPr>
        <w:t xml:space="preserve">Este proceso </w:t>
      </w:r>
      <w:r>
        <w:rPr>
          <w:rFonts w:ascii="Arial" w:hAnsi="Arial" w:cs="Arial"/>
          <w:color w:val="000000"/>
        </w:rPr>
        <w:t xml:space="preserve">se encuentra en un cumplimiento </w:t>
      </w:r>
      <w:r w:rsidRPr="00F3136C">
        <w:rPr>
          <w:rFonts w:ascii="Arial" w:hAnsi="Arial" w:cs="Arial"/>
          <w:color w:val="000000"/>
        </w:rPr>
        <w:t xml:space="preserve">del </w:t>
      </w:r>
      <w:r>
        <w:rPr>
          <w:rFonts w:ascii="Arial" w:hAnsi="Arial" w:cs="Arial"/>
          <w:color w:val="000000"/>
        </w:rPr>
        <w:t>100</w:t>
      </w:r>
      <w:r w:rsidRPr="00F3136C">
        <w:rPr>
          <w:rFonts w:ascii="Arial" w:hAnsi="Arial" w:cs="Arial"/>
          <w:color w:val="000000"/>
        </w:rPr>
        <w:t xml:space="preserve">% </w:t>
      </w:r>
    </w:p>
    <w:p w:rsidR="00860532" w:rsidRDefault="00860532" w:rsidP="00860532">
      <w:pPr>
        <w:spacing w:after="0" w:line="240" w:lineRule="auto"/>
        <w:jc w:val="both"/>
        <w:rPr>
          <w:rFonts w:ascii="Arial" w:hAnsi="Arial" w:cs="Arial"/>
          <w:color w:val="000000"/>
        </w:rPr>
      </w:pPr>
    </w:p>
    <w:p w:rsidR="00F3136C" w:rsidRDefault="00F3136C" w:rsidP="00860532">
      <w:pPr>
        <w:spacing w:after="0" w:line="240" w:lineRule="auto"/>
        <w:jc w:val="both"/>
        <w:rPr>
          <w:rFonts w:ascii="Arial" w:hAnsi="Arial" w:cs="Arial"/>
          <w:color w:val="000000"/>
        </w:rPr>
      </w:pPr>
      <w:r w:rsidRPr="00F3136C">
        <w:rPr>
          <w:rFonts w:ascii="Arial" w:hAnsi="Arial" w:cs="Arial"/>
          <w:color w:val="000000"/>
        </w:rPr>
        <w:t>Se evidencia que el resultado obtenido está dentro del límite establecido para el indicador como EXCELENTE, se mantiene una mejora considerable en la percepción de atención que reciben los usuarios frente al servicio prestado por parte del personal de la mesa de ayuda.</w:t>
      </w:r>
    </w:p>
    <w:p w:rsidR="0070244D" w:rsidRDefault="0070244D" w:rsidP="0070244D">
      <w:pPr>
        <w:pStyle w:val="Prrafodelista"/>
        <w:spacing w:after="0" w:line="240" w:lineRule="auto"/>
        <w:jc w:val="both"/>
        <w:rPr>
          <w:rFonts w:ascii="Arial" w:hAnsi="Arial" w:cs="Arial"/>
          <w:color w:val="000000"/>
        </w:rPr>
      </w:pPr>
    </w:p>
    <w:p w:rsidR="00F3136C" w:rsidRDefault="00F3136C" w:rsidP="00F17469">
      <w:pPr>
        <w:pStyle w:val="Prrafodelista"/>
        <w:numPr>
          <w:ilvl w:val="0"/>
          <w:numId w:val="6"/>
        </w:numPr>
        <w:spacing w:after="0" w:line="240" w:lineRule="auto"/>
        <w:jc w:val="both"/>
        <w:rPr>
          <w:rFonts w:ascii="Arial" w:hAnsi="Arial" w:cs="Arial"/>
          <w:color w:val="000000"/>
        </w:rPr>
      </w:pPr>
      <w:r w:rsidRPr="00F3136C">
        <w:rPr>
          <w:rFonts w:ascii="Arial" w:hAnsi="Arial" w:cs="Arial"/>
          <w:color w:val="000000"/>
        </w:rPr>
        <w:t xml:space="preserve">Se evidencia </w:t>
      </w:r>
      <w:r>
        <w:rPr>
          <w:rFonts w:ascii="Arial" w:hAnsi="Arial" w:cs="Arial"/>
          <w:color w:val="000000"/>
        </w:rPr>
        <w:t xml:space="preserve">total cumplimiento </w:t>
      </w:r>
      <w:r w:rsidRPr="00F3136C">
        <w:rPr>
          <w:rFonts w:ascii="Arial" w:hAnsi="Arial" w:cs="Arial"/>
          <w:color w:val="000000"/>
        </w:rPr>
        <w:t>de acuerdo al rango porcentual establecido para el triimestre, lo cual redunda en que día a día se tiene una mejor oportunidad en la atención de los incidentes que requieren los usuarios del Ministerio.</w:t>
      </w:r>
    </w:p>
    <w:p w:rsidR="0070244D" w:rsidRPr="0070244D" w:rsidRDefault="0070244D" w:rsidP="0070244D">
      <w:pPr>
        <w:spacing w:after="0" w:line="240" w:lineRule="auto"/>
        <w:jc w:val="both"/>
        <w:rPr>
          <w:rFonts w:ascii="Arial" w:hAnsi="Arial" w:cs="Arial"/>
          <w:color w:val="000000"/>
        </w:rPr>
      </w:pPr>
    </w:p>
    <w:p w:rsidR="00F3136C" w:rsidRDefault="0035531F" w:rsidP="00F17469">
      <w:pPr>
        <w:pStyle w:val="Prrafodelista"/>
        <w:numPr>
          <w:ilvl w:val="0"/>
          <w:numId w:val="6"/>
        </w:numPr>
        <w:spacing w:after="0" w:line="240" w:lineRule="auto"/>
        <w:jc w:val="both"/>
        <w:rPr>
          <w:rFonts w:ascii="Arial" w:hAnsi="Arial" w:cs="Arial"/>
          <w:color w:val="000000"/>
        </w:rPr>
      </w:pPr>
      <w:r>
        <w:rPr>
          <w:rFonts w:ascii="Arial" w:hAnsi="Arial" w:cs="Arial"/>
          <w:color w:val="000000"/>
        </w:rPr>
        <w:t>Se contó con total disposición de los servidores que soportan la gestión del Ministerio.</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autoSpaceDE w:val="0"/>
        <w:autoSpaceDN w:val="0"/>
        <w:adjustRightInd w:val="0"/>
        <w:spacing w:after="0" w:line="240" w:lineRule="auto"/>
        <w:rPr>
          <w:rFonts w:ascii="Arial" w:hAnsi="Arial" w:cs="Arial"/>
          <w:b/>
          <w:bCs/>
          <w:color w:val="2F5497"/>
        </w:rPr>
      </w:pPr>
      <w:r w:rsidRPr="0035531F">
        <w:rPr>
          <w:rFonts w:ascii="Arial" w:hAnsi="Arial" w:cs="Arial"/>
          <w:b/>
          <w:bCs/>
          <w:color w:val="2F5497"/>
        </w:rPr>
        <w:t>Proceso</w:t>
      </w:r>
      <w:r>
        <w:rPr>
          <w:rFonts w:ascii="Arial" w:hAnsi="Arial" w:cs="Arial"/>
          <w:b/>
          <w:bCs/>
          <w:color w:val="2F5497"/>
        </w:rPr>
        <w:t xml:space="preserve"> </w:t>
      </w:r>
      <w:r w:rsidRPr="0035531F">
        <w:rPr>
          <w:rFonts w:ascii="Arial" w:hAnsi="Arial" w:cs="Arial"/>
          <w:b/>
          <w:bCs/>
          <w:color w:val="2F5497"/>
        </w:rPr>
        <w:t>Gestión de Talento Humano</w:t>
      </w:r>
    </w:p>
    <w:p w:rsid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C11A59" w:rsidP="0035531F">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101664C6" wp14:editId="07823FC9">
            <wp:extent cx="2018906" cy="2035456"/>
            <wp:effectExtent l="0" t="0" r="635"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5540" cy="2042144"/>
                    </a:xfrm>
                    <a:prstGeom prst="rect">
                      <a:avLst/>
                    </a:prstGeom>
                  </pic:spPr>
                </pic:pic>
              </a:graphicData>
            </a:graphic>
          </wp:inline>
        </w:drawing>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spacing w:after="0" w:line="240" w:lineRule="auto"/>
        <w:jc w:val="both"/>
        <w:rPr>
          <w:rFonts w:ascii="Arial" w:hAnsi="Arial" w:cs="Arial"/>
          <w:color w:val="000000"/>
        </w:rPr>
      </w:pPr>
      <w:r w:rsidRPr="0035531F">
        <w:rPr>
          <w:rFonts w:ascii="Arial" w:hAnsi="Arial" w:cs="Arial"/>
          <w:color w:val="000000"/>
        </w:rPr>
        <w:t xml:space="preserve">Este indicador tiene un cumplimiento por debajo del óptimo logrando un promedio de cumplimiento del </w:t>
      </w:r>
      <w:r w:rsidR="00C11A59">
        <w:rPr>
          <w:rFonts w:ascii="Arial" w:hAnsi="Arial" w:cs="Arial"/>
          <w:color w:val="000000"/>
        </w:rPr>
        <w:t>100</w:t>
      </w:r>
      <w:r w:rsidRPr="0035531F">
        <w:rPr>
          <w:rFonts w:ascii="Arial" w:hAnsi="Arial" w:cs="Arial"/>
          <w:color w:val="000000"/>
        </w:rPr>
        <w:t>%,</w:t>
      </w:r>
      <w:r>
        <w:rPr>
          <w:rFonts w:ascii="Arial" w:hAnsi="Arial" w:cs="Arial"/>
          <w:color w:val="000000"/>
        </w:rPr>
        <w:t xml:space="preserve"> las siguientes actividades apoyaron  el logro de los resultados: </w:t>
      </w:r>
    </w:p>
    <w:p w:rsidR="0035531F" w:rsidRDefault="0035531F" w:rsidP="0035531F">
      <w:pPr>
        <w:pStyle w:val="Prrafodelista"/>
        <w:spacing w:after="0" w:line="240" w:lineRule="auto"/>
        <w:jc w:val="both"/>
        <w:rPr>
          <w:rFonts w:ascii="Arial" w:hAnsi="Arial" w:cs="Arial"/>
          <w:color w:val="000000"/>
        </w:rPr>
      </w:pP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Febrero: 1-Inducción y Reinducción</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Marzo: 1-MIPG, 2-Inducción y Reinducción.</w:t>
      </w:r>
    </w:p>
    <w:p w:rsidR="00C11A59" w:rsidRDefault="00860532" w:rsidP="00C11A59">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lastRenderedPageBreak/>
        <w:t>Abril: 1-Charla en temas de Pensiones y Cesantías, 2-Charla Empleabilidad, 3-Código Disciplinario, 4-Escritura Jurídica, 5-Inducción y reinducción.</w:t>
      </w:r>
    </w:p>
    <w:p w:rsidR="00860532" w:rsidRPr="00C11A59" w:rsidRDefault="00860532" w:rsidP="00C11A59">
      <w:pPr>
        <w:pStyle w:val="Prrafodelista"/>
        <w:numPr>
          <w:ilvl w:val="0"/>
          <w:numId w:val="31"/>
        </w:numPr>
        <w:spacing w:after="0" w:line="240" w:lineRule="auto"/>
        <w:jc w:val="both"/>
        <w:rPr>
          <w:rFonts w:ascii="Arial" w:hAnsi="Arial" w:cs="Arial"/>
          <w:color w:val="000000"/>
        </w:rPr>
      </w:pPr>
      <w:r w:rsidRPr="00C11A59">
        <w:rPr>
          <w:rFonts w:ascii="Arial" w:hAnsi="Arial" w:cs="Arial"/>
          <w:color w:val="000000"/>
        </w:rPr>
        <w:t>Se expidieron 276 Certificados laborales.</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Se tramitaron 290</w:t>
      </w:r>
      <w:r w:rsidR="00C11A59">
        <w:rPr>
          <w:rFonts w:ascii="Arial" w:hAnsi="Arial" w:cs="Arial"/>
          <w:color w:val="000000"/>
        </w:rPr>
        <w:t xml:space="preserve"> </w:t>
      </w:r>
      <w:r w:rsidRPr="00860532">
        <w:rPr>
          <w:rFonts w:ascii="Arial" w:hAnsi="Arial" w:cs="Arial"/>
          <w:color w:val="000000"/>
        </w:rPr>
        <w:t>situaciones administrativas.</w:t>
      </w:r>
    </w:p>
    <w:p w:rsidR="00860532" w:rsidRDefault="00860532" w:rsidP="00860532">
      <w:pPr>
        <w:pStyle w:val="Prrafodelista"/>
        <w:numPr>
          <w:ilvl w:val="0"/>
          <w:numId w:val="31"/>
        </w:numPr>
        <w:spacing w:after="0" w:line="240" w:lineRule="auto"/>
        <w:jc w:val="both"/>
        <w:rPr>
          <w:rFonts w:ascii="Arial" w:hAnsi="Arial" w:cs="Arial"/>
          <w:color w:val="000000"/>
        </w:rPr>
      </w:pPr>
      <w:r>
        <w:rPr>
          <w:rFonts w:ascii="Arial" w:hAnsi="Arial" w:cs="Arial"/>
          <w:color w:val="000000"/>
        </w:rPr>
        <w:t>S</w:t>
      </w:r>
      <w:r w:rsidRPr="00860532">
        <w:rPr>
          <w:rFonts w:ascii="Arial" w:hAnsi="Arial" w:cs="Arial"/>
          <w:color w:val="000000"/>
        </w:rPr>
        <w:t>e atendieron 425 solicitudes de préstamo de Historias laborales.</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Se tramitaron quince (15) solicitudes en el cuatrimestre, de las cuales a catorce (14) se les emitió acto administrativo y una (1) no fue autorizada en el mes de marzo.</w:t>
      </w:r>
    </w:p>
    <w:p w:rsidR="00860532" w:rsidRPr="00860532" w:rsidRDefault="00860532" w:rsidP="00860532">
      <w:pPr>
        <w:spacing w:after="0" w:line="240" w:lineRule="auto"/>
        <w:jc w:val="both"/>
        <w:rPr>
          <w:rFonts w:ascii="Arial" w:hAnsi="Arial" w:cs="Arial"/>
          <w:color w:val="000000"/>
        </w:rPr>
      </w:pPr>
    </w:p>
    <w:p w:rsidR="00511111" w:rsidRPr="00511111" w:rsidRDefault="00511111" w:rsidP="00511111">
      <w:pPr>
        <w:spacing w:after="0" w:line="240" w:lineRule="auto"/>
        <w:jc w:val="both"/>
        <w:rPr>
          <w:rFonts w:ascii="Arial" w:hAnsi="Arial" w:cs="Arial"/>
          <w:color w:val="000000"/>
        </w:rPr>
      </w:pPr>
    </w:p>
    <w:p w:rsidR="00511111" w:rsidRDefault="00511111" w:rsidP="00511111">
      <w:pPr>
        <w:autoSpaceDE w:val="0"/>
        <w:autoSpaceDN w:val="0"/>
        <w:adjustRightInd w:val="0"/>
        <w:spacing w:after="0" w:line="240" w:lineRule="auto"/>
        <w:rPr>
          <w:rFonts w:ascii="Arial" w:hAnsi="Arial" w:cs="Arial"/>
          <w:b/>
          <w:bCs/>
          <w:color w:val="2F5497"/>
        </w:rPr>
      </w:pPr>
      <w:r w:rsidRPr="00511111">
        <w:rPr>
          <w:rFonts w:ascii="Arial" w:hAnsi="Arial" w:cs="Arial"/>
          <w:b/>
          <w:bCs/>
          <w:color w:val="2F5497"/>
        </w:rPr>
        <w:t>Proceso</w:t>
      </w:r>
      <w:r>
        <w:rPr>
          <w:rFonts w:ascii="Arial" w:hAnsi="Arial" w:cs="Arial"/>
          <w:b/>
          <w:bCs/>
          <w:color w:val="2F5497"/>
        </w:rPr>
        <w:t xml:space="preserve"> </w:t>
      </w:r>
      <w:r w:rsidRPr="00511111">
        <w:rPr>
          <w:rFonts w:ascii="Arial" w:hAnsi="Arial" w:cs="Arial"/>
          <w:b/>
          <w:bCs/>
          <w:color w:val="2F5497"/>
        </w:rPr>
        <w:t>Gestión Contractual</w:t>
      </w:r>
    </w:p>
    <w:p w:rsidR="00C11A59" w:rsidRDefault="00C11A59" w:rsidP="00511111">
      <w:pPr>
        <w:autoSpaceDE w:val="0"/>
        <w:autoSpaceDN w:val="0"/>
        <w:adjustRightInd w:val="0"/>
        <w:spacing w:after="0" w:line="240" w:lineRule="auto"/>
        <w:rPr>
          <w:rFonts w:ascii="Arial" w:hAnsi="Arial" w:cs="Arial"/>
          <w:b/>
          <w:bCs/>
          <w:color w:val="2F5497"/>
        </w:rPr>
      </w:pPr>
    </w:p>
    <w:p w:rsidR="00511111" w:rsidRDefault="00C11A59" w:rsidP="00C11A59">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76AEA6C8" wp14:editId="4CCB1CDC">
            <wp:extent cx="2295525" cy="17621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5525" cy="1762125"/>
                    </a:xfrm>
                    <a:prstGeom prst="rect">
                      <a:avLst/>
                    </a:prstGeom>
                  </pic:spPr>
                </pic:pic>
              </a:graphicData>
            </a:graphic>
          </wp:inline>
        </w:drawing>
      </w:r>
    </w:p>
    <w:p w:rsidR="00511111" w:rsidRPr="00511111" w:rsidRDefault="00511111" w:rsidP="00800542">
      <w:pPr>
        <w:widowControl w:val="0"/>
        <w:spacing w:after="120" w:line="285" w:lineRule="auto"/>
        <w:rPr>
          <w:rFonts w:ascii="Georgia" w:eastAsia="Times New Roman" w:hAnsi="Georgia" w:cs="Times New Roman"/>
          <w:color w:val="000000"/>
          <w:kern w:val="28"/>
          <w:sz w:val="20"/>
          <w:szCs w:val="20"/>
          <w:lang w:eastAsia="es-CO"/>
          <w14:cntxtAlts/>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Primer Trimestre: 1. Mediante memorando MJD-MEM19-0002294-GGC-4002 del 14 de marzo de 2019, se realiza devolución de los documentos soporte de la contratación del señor Camilo Eduardo </w:t>
      </w:r>
      <w:proofErr w:type="spellStart"/>
      <w:r w:rsidRPr="00C11A59">
        <w:rPr>
          <w:rFonts w:ascii="Arial" w:hAnsi="Arial" w:cs="Arial"/>
          <w:color w:val="000000"/>
        </w:rPr>
        <w:t>Paipilla</w:t>
      </w:r>
      <w:proofErr w:type="spellEnd"/>
      <w:r w:rsidRPr="00C11A59">
        <w:rPr>
          <w:rFonts w:ascii="Arial" w:hAnsi="Arial" w:cs="Arial"/>
          <w:color w:val="000000"/>
        </w:rPr>
        <w:t xml:space="preserve"> Lara, a la Dirección Jurídica, debido a que no cumple con la experiencia profesional relacionada para el perfil solicitado. 2.  Mediante memorando MJD-MEM19-0002028-GGC-4002 de fecha 11 de marzo de 2019, se realiza la devolución de los documentos del señor Alberto </w:t>
      </w:r>
      <w:proofErr w:type="spellStart"/>
      <w:r w:rsidRPr="00C11A59">
        <w:rPr>
          <w:rFonts w:ascii="Arial" w:hAnsi="Arial" w:cs="Arial"/>
          <w:color w:val="000000"/>
        </w:rPr>
        <w:t>Fandiño</w:t>
      </w:r>
      <w:proofErr w:type="spellEnd"/>
      <w:r w:rsidRPr="00C11A59">
        <w:rPr>
          <w:rFonts w:ascii="Arial" w:hAnsi="Arial" w:cs="Arial"/>
          <w:color w:val="000000"/>
        </w:rPr>
        <w:t xml:space="preserve"> a la Subdirección de Control y Fiscalización de Sustancias Químicas y Estupefacientes, ya que una vez adelantado el proceso de contratación, el señor no firmó el contrato. 3 Mediante memorando MJD-MEM19-0002266-GGC-4002 del 12 de marzo de 2019, se realiza devolución de los documentos soporte de la contratación del señor Juan Esteban Martínez, a la Dirección de Métodos Alternativos de Solución de Conflictos, debido a que no aporta la documentación completa. </w:t>
      </w:r>
    </w:p>
    <w:p w:rsidR="00C11A59" w:rsidRPr="00C11A59" w:rsidRDefault="00C11A59" w:rsidP="00C11A59">
      <w:pPr>
        <w:pStyle w:val="Prrafodelista"/>
        <w:spacing w:after="0" w:line="240" w:lineRule="auto"/>
        <w:jc w:val="both"/>
        <w:rPr>
          <w:rFonts w:ascii="Arial" w:hAnsi="Arial" w:cs="Arial"/>
          <w:color w:val="000000"/>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Segundo Trimestre: Se aclara que los procesos de contratación radicados en junio, surtieron el trámite de la revisión en el GGC, y se remiten a</w:t>
      </w:r>
      <w:r>
        <w:rPr>
          <w:rFonts w:ascii="Arial" w:hAnsi="Arial" w:cs="Arial"/>
          <w:color w:val="000000"/>
        </w:rPr>
        <w:t xml:space="preserve"> </w:t>
      </w:r>
      <w:r w:rsidRPr="00C11A59">
        <w:rPr>
          <w:rFonts w:ascii="Arial" w:hAnsi="Arial" w:cs="Arial"/>
          <w:color w:val="000000"/>
        </w:rPr>
        <w:t>las áreas por correo para ajustes de los documentos previos.</w:t>
      </w:r>
    </w:p>
    <w:p w:rsidR="00C11A59" w:rsidRPr="00C11A59" w:rsidRDefault="00C11A59" w:rsidP="00C11A59">
      <w:pPr>
        <w:pStyle w:val="Prrafodelista"/>
        <w:spacing w:after="0" w:line="240" w:lineRule="auto"/>
        <w:jc w:val="both"/>
        <w:rPr>
          <w:rFonts w:ascii="Arial" w:hAnsi="Arial" w:cs="Arial"/>
          <w:color w:val="000000"/>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Tercer Trimestre: Mediante memorando MJD-MEM19-0006049-GGC-4002 del 16 de agosto de 2019,  se realiza devolución de los documentos soporte de la contratación a la Dirección Jurídica, con el fin de complementar el aspecto técnico. 2. Mediante memorando MJD-MEM19-0005558-GGC-4002 de 31 de julio de 2019, se realiza devolución del proceso de contratación de Diana Gutiérrez para ajustar obligaciones y completar la documentación. 3. Mediante memorando MJD-MEM19-0006008-GGC-4002 de 16 de agosto de 2019, se realiza devolución de la carpeta de </w:t>
      </w:r>
      <w:proofErr w:type="spellStart"/>
      <w:r w:rsidRPr="00C11A59">
        <w:rPr>
          <w:rFonts w:ascii="Arial" w:hAnsi="Arial" w:cs="Arial"/>
          <w:color w:val="000000"/>
        </w:rPr>
        <w:t>Veronica</w:t>
      </w:r>
      <w:proofErr w:type="spellEnd"/>
      <w:r w:rsidRPr="00C11A59">
        <w:rPr>
          <w:rFonts w:ascii="Arial" w:hAnsi="Arial" w:cs="Arial"/>
          <w:color w:val="000000"/>
        </w:rPr>
        <w:t xml:space="preserve"> </w:t>
      </w:r>
      <w:proofErr w:type="spellStart"/>
      <w:r w:rsidRPr="00C11A59">
        <w:rPr>
          <w:rFonts w:ascii="Arial" w:hAnsi="Arial" w:cs="Arial"/>
          <w:color w:val="000000"/>
        </w:rPr>
        <w:t>Ucross</w:t>
      </w:r>
      <w:proofErr w:type="spellEnd"/>
      <w:r w:rsidRPr="00C11A59">
        <w:rPr>
          <w:rFonts w:ascii="Arial" w:hAnsi="Arial" w:cs="Arial"/>
          <w:color w:val="000000"/>
        </w:rPr>
        <w:t xml:space="preserve">, por no acreditar la experiencia para el perfil solicitado. 4. Mediante correo electrónico del 26 de julio se devolvió proceso Concurso de Méritos a la Dirección de Justicia Formal. </w:t>
      </w:r>
    </w:p>
    <w:p w:rsidR="00AB61E0"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Cuarto Trimestre: Mediante memorando MJD-MEM19-0009526-GGC-4002 del 20 de diciembre de 2019,  se realiza devolución de los documentos soporte de la contratación a la STSI. Mediante </w:t>
      </w:r>
      <w:r w:rsidRPr="00C11A59">
        <w:rPr>
          <w:rFonts w:ascii="Arial" w:hAnsi="Arial" w:cs="Arial"/>
          <w:color w:val="000000"/>
        </w:rPr>
        <w:lastRenderedPageBreak/>
        <w:t>MJD-MEM19-0007797-GGC-4002 de 18 de octubre de devuelve proceso, ya que el contratista PN desistió de suscribir el contrato.</w:t>
      </w:r>
    </w:p>
    <w:p w:rsidR="00800542" w:rsidRDefault="00800542" w:rsidP="00C11A59">
      <w:pPr>
        <w:pStyle w:val="Prrafodelista"/>
        <w:spacing w:after="0" w:line="240" w:lineRule="auto"/>
        <w:jc w:val="both"/>
        <w:rPr>
          <w:rFonts w:ascii="Arial" w:hAnsi="Arial" w:cs="Arial"/>
          <w:color w:val="000000"/>
        </w:rPr>
      </w:pPr>
    </w:p>
    <w:p w:rsidR="00800542" w:rsidRDefault="00800542" w:rsidP="00C11A59">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Primer Trimestre se adelantó 4 procesos de mínima cuantía, 1 licitación, y 2 contrataciones directas - convenio interadministrativo. </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Segundo Trimestres: 4 procesos de mínima cuantía, 3 procesos de selección abreviada por subasta inversa, Contrataciones Directas: 1 acuerdo de corresponsabilidad, 3 contratos interadministrativos, 2 convenios de cooperación internacional, 2 contrataciones directas proveedor exclusivo. </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Tercer Trimestre: 1 proceso de selección abreviada por bolsa de productos, 1 proceso de selección abreviada por subasta inversa, 2 convenios de cooperación internacional 3 convenios interadministrativos, 1 proceso de contratación directa proveedor exclusivo, 4 procesos de licitación pública, 2 procesos de selección abreviada de menor cuantía, 2 procesos de mínima cuantía y 7 órdenes de compra.</w:t>
      </w:r>
    </w:p>
    <w:p w:rsidR="00800542" w:rsidRDefault="00800542" w:rsidP="00800542">
      <w:pPr>
        <w:pStyle w:val="Prrafodelista"/>
        <w:spacing w:after="0" w:line="240" w:lineRule="auto"/>
        <w:jc w:val="both"/>
        <w:rPr>
          <w:rFonts w:ascii="Arial" w:hAnsi="Arial" w:cs="Arial"/>
          <w:color w:val="000000"/>
        </w:rPr>
      </w:pPr>
    </w:p>
    <w:p w:rsidR="00800542" w:rsidRPr="00AB61E0"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Cuarto Trimestre: 1 proceso de régimen especial, 2 convenios de cooperación internacional, 9 procesos de mínima cuantía, 4 contratos interadministrativos, 1 concurso de méritos, 3 selección abreviada de menor cuantía, 7 convenios interadministrativos, 8 procesos de selección abreviada subasta inversa, 5 procesos de contratación directa proveedor exclusivo.</w:t>
      </w:r>
    </w:p>
    <w:p w:rsidR="00800542" w:rsidRDefault="00800542" w:rsidP="00800542">
      <w:pPr>
        <w:spacing w:after="0" w:line="240" w:lineRule="auto"/>
        <w:jc w:val="both"/>
        <w:rPr>
          <w:rFonts w:ascii="Arial" w:hAnsi="Arial" w:cs="Arial"/>
          <w:color w:val="000000"/>
        </w:rPr>
      </w:pPr>
    </w:p>
    <w:p w:rsidR="00800542" w:rsidRDefault="00800542" w:rsidP="00800542">
      <w:pPr>
        <w:spacing w:after="0" w:line="240" w:lineRule="auto"/>
        <w:jc w:val="both"/>
        <w:rPr>
          <w:rFonts w:ascii="Arial" w:hAnsi="Arial" w:cs="Arial"/>
          <w:color w:val="000000"/>
        </w:rPr>
      </w:pPr>
      <w:r>
        <w:rPr>
          <w:rFonts w:ascii="Arial" w:hAnsi="Arial" w:cs="Arial"/>
          <w:color w:val="000000"/>
        </w:rPr>
        <w:t>El bajo cumplimiento del indiciador obedece a que l</w:t>
      </w:r>
      <w:r w:rsidRPr="00800542">
        <w:rPr>
          <w:rFonts w:ascii="Arial" w:hAnsi="Arial" w:cs="Arial"/>
          <w:color w:val="000000"/>
        </w:rPr>
        <w:t>as áreas que tienen la necesidad de la contratación no radicaron los documentos requeridos para adelantar los respectivos procesos, así: GGAFC 17 procesos, DJU: 6 procesos, GGH 1 procesos, DDDOJ: 2 procesos DJF: 6 procesos DJT: 8 procesos, DMASC: 3 procesos DPCP: 24 procesos, SGIJ  2 procesos STSI y OTI  5 procesos, DPD  2 procesos, SEA 18 procesos, y SSQ 3 procesos.</w:t>
      </w:r>
    </w:p>
    <w:p w:rsidR="00800542" w:rsidRPr="00800542" w:rsidRDefault="00800542" w:rsidP="00800542">
      <w:pPr>
        <w:spacing w:after="0" w:line="240" w:lineRule="auto"/>
        <w:jc w:val="both"/>
        <w:rPr>
          <w:rFonts w:ascii="Arial" w:hAnsi="Arial" w:cs="Arial"/>
          <w:color w:val="000000"/>
        </w:rPr>
      </w:pPr>
    </w:p>
    <w:p w:rsidR="0070244D" w:rsidRDefault="0070244D" w:rsidP="0035531F">
      <w:pPr>
        <w:pStyle w:val="Prrafodelista"/>
        <w:spacing w:after="0" w:line="240" w:lineRule="auto"/>
        <w:jc w:val="both"/>
        <w:rPr>
          <w:rFonts w:ascii="Arial" w:hAnsi="Arial" w:cs="Arial"/>
          <w:color w:val="000000"/>
        </w:rPr>
      </w:pPr>
    </w:p>
    <w:p w:rsidR="0070244D" w:rsidRPr="0070244D" w:rsidRDefault="0070244D" w:rsidP="0070244D">
      <w:pPr>
        <w:autoSpaceDE w:val="0"/>
        <w:autoSpaceDN w:val="0"/>
        <w:adjustRightInd w:val="0"/>
        <w:spacing w:after="0" w:line="240" w:lineRule="auto"/>
        <w:rPr>
          <w:rFonts w:ascii="Arial" w:hAnsi="Arial" w:cs="Arial"/>
          <w:b/>
          <w:bCs/>
          <w:color w:val="2F5497"/>
        </w:rPr>
      </w:pPr>
      <w:r w:rsidRPr="0070244D">
        <w:rPr>
          <w:rFonts w:ascii="Arial" w:hAnsi="Arial" w:cs="Arial"/>
          <w:b/>
          <w:bCs/>
          <w:color w:val="2F5497"/>
        </w:rPr>
        <w:t>Proceso Gestión Jurídica</w:t>
      </w:r>
    </w:p>
    <w:p w:rsidR="0070244D" w:rsidRPr="0070244D" w:rsidRDefault="0070244D" w:rsidP="0070244D">
      <w:pPr>
        <w:widowControl w:val="0"/>
        <w:spacing w:after="120" w:line="285" w:lineRule="auto"/>
        <w:rPr>
          <w:rFonts w:ascii="Georgia" w:eastAsia="Times New Roman" w:hAnsi="Georgia" w:cs="Times New Roman"/>
          <w:color w:val="000000"/>
          <w:kern w:val="28"/>
          <w:sz w:val="20"/>
          <w:szCs w:val="20"/>
          <w:lang w:eastAsia="es-CO"/>
          <w14:cntxtAlts/>
        </w:rPr>
      </w:pPr>
      <w:r w:rsidRPr="0070244D">
        <w:rPr>
          <w:rFonts w:ascii="Georgia" w:eastAsia="Times New Roman" w:hAnsi="Georgia" w:cs="Times New Roman"/>
          <w:color w:val="000000"/>
          <w:kern w:val="28"/>
          <w:sz w:val="20"/>
          <w:szCs w:val="20"/>
          <w:lang w:eastAsia="es-CO"/>
          <w14:cntxtAlts/>
        </w:rPr>
        <w:t> </w:t>
      </w:r>
    </w:p>
    <w:p w:rsidR="0070244D" w:rsidRDefault="0070244D" w:rsidP="0070244D">
      <w:pPr>
        <w:pStyle w:val="Prrafodelista"/>
        <w:spacing w:after="0" w:line="240" w:lineRule="auto"/>
        <w:jc w:val="center"/>
        <w:rPr>
          <w:rFonts w:ascii="Arial" w:hAnsi="Arial" w:cs="Arial"/>
          <w:color w:val="000000"/>
        </w:rPr>
      </w:pPr>
      <w:r>
        <w:rPr>
          <w:noProof/>
          <w:lang w:eastAsia="es-CO"/>
        </w:rPr>
        <w:drawing>
          <wp:inline distT="0" distB="0" distL="0" distR="0" wp14:anchorId="09E646B2" wp14:editId="50662068">
            <wp:extent cx="2115820" cy="1899433"/>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8048" cy="1910411"/>
                    </a:xfrm>
                    <a:prstGeom prst="rect">
                      <a:avLst/>
                    </a:prstGeom>
                  </pic:spPr>
                </pic:pic>
              </a:graphicData>
            </a:graphic>
          </wp:inline>
        </w:drawing>
      </w:r>
    </w:p>
    <w:p w:rsidR="0070244D" w:rsidRDefault="0070244D" w:rsidP="0070244D">
      <w:pPr>
        <w:pStyle w:val="Prrafodelista"/>
        <w:spacing w:after="0" w:line="240" w:lineRule="auto"/>
        <w:rPr>
          <w:rFonts w:ascii="Arial" w:hAnsi="Arial" w:cs="Arial"/>
          <w:color w:val="000000"/>
        </w:rPr>
      </w:pPr>
    </w:p>
    <w:p w:rsidR="0070244D" w:rsidRDefault="0070244D" w:rsidP="00EB4788">
      <w:pPr>
        <w:pStyle w:val="Prrafodelista"/>
        <w:spacing w:after="0" w:line="240" w:lineRule="auto"/>
        <w:jc w:val="both"/>
        <w:rPr>
          <w:rFonts w:ascii="Arial" w:hAnsi="Arial" w:cs="Arial"/>
          <w:color w:val="000000"/>
        </w:rPr>
      </w:pPr>
      <w:r w:rsidRPr="0070244D">
        <w:rPr>
          <w:rFonts w:ascii="Arial" w:hAnsi="Arial" w:cs="Arial"/>
          <w:color w:val="000000"/>
        </w:rPr>
        <w:t>El proceso de gestión jurídica se encuentra en un cumplimiento promedio de 100% correspondientes a los indicadores reportados por los subprocesos de actuaciones adm</w:t>
      </w:r>
      <w:r>
        <w:rPr>
          <w:rFonts w:ascii="Arial" w:hAnsi="Arial" w:cs="Arial"/>
          <w:color w:val="000000"/>
        </w:rPr>
        <w:t>inistrativas y defensa jurídica:</w:t>
      </w:r>
    </w:p>
    <w:p w:rsidR="003D7C4E" w:rsidRDefault="003D7C4E" w:rsidP="00EB4788">
      <w:pPr>
        <w:pStyle w:val="Prrafodelista"/>
        <w:spacing w:after="0" w:line="240" w:lineRule="auto"/>
        <w:jc w:val="both"/>
        <w:rPr>
          <w:rFonts w:ascii="Arial" w:hAnsi="Arial" w:cs="Arial"/>
          <w:color w:val="000000"/>
        </w:rPr>
      </w:pPr>
    </w:p>
    <w:p w:rsidR="003D7C4E" w:rsidRDefault="003D7C4E" w:rsidP="00EB4788">
      <w:pPr>
        <w:pStyle w:val="Prrafodelista"/>
        <w:spacing w:after="0" w:line="240" w:lineRule="auto"/>
        <w:jc w:val="both"/>
        <w:rPr>
          <w:rFonts w:ascii="Arial" w:hAnsi="Arial" w:cs="Arial"/>
          <w:color w:val="000000"/>
        </w:rPr>
      </w:pPr>
      <w:r w:rsidRPr="003D7C4E">
        <w:rPr>
          <w:rFonts w:ascii="Arial" w:hAnsi="Arial" w:cs="Arial"/>
          <w:color w:val="000000"/>
        </w:rPr>
        <w:lastRenderedPageBreak/>
        <w:t xml:space="preserve">Teniendo en cuenta que el trámite de todas las solicitudes de conciliación inicia en el mes en que se radican los traslados en el MJD mediante la asignación inmediata del caso al apoderado a cargo, finalizando su gestión en ese mismo periodo o en los siguientes, según las sesiones del Comité de Conciliación y las citaciones a las audiencias de conciliación correspondientes; devienen razonables, eficientes y adecuados los trámites realizados.   </w:t>
      </w:r>
    </w:p>
    <w:p w:rsidR="00800542" w:rsidRDefault="00800542" w:rsidP="00EB4788">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no ingresaron exped</w:t>
      </w:r>
      <w:r>
        <w:rPr>
          <w:rFonts w:ascii="Arial" w:hAnsi="Arial" w:cs="Arial"/>
          <w:color w:val="000000"/>
        </w:rPr>
        <w:t xml:space="preserve">ientes nuevos de cobro coactivo, </w:t>
      </w:r>
      <w:r w:rsidRPr="00800542">
        <w:rPr>
          <w:rFonts w:ascii="Arial" w:hAnsi="Arial" w:cs="Arial"/>
          <w:color w:val="000000"/>
        </w:rPr>
        <w:t xml:space="preserve">a la fecha 13 obligaciones de cobro coactivo a favor de la entidad. Todas se revisaron y se gestionan de conformidad con el estado del proceso en el cuarto trimestre de 2019, así: una (1) en octubre, una (1) en noviembre y  una (1) en diciembre.    </w:t>
      </w:r>
    </w:p>
    <w:p w:rsidR="003D7C4E" w:rsidRDefault="003D7C4E" w:rsidP="00EB4788">
      <w:pPr>
        <w:pStyle w:val="Prrafodelista"/>
        <w:spacing w:after="0" w:line="240" w:lineRule="auto"/>
        <w:jc w:val="both"/>
        <w:rPr>
          <w:rFonts w:ascii="Arial" w:hAnsi="Arial" w:cs="Arial"/>
          <w:color w:val="000000"/>
        </w:rPr>
      </w:pPr>
    </w:p>
    <w:p w:rsidR="003D7C4E" w:rsidRDefault="003D7C4E" w:rsidP="00EB4788">
      <w:pPr>
        <w:pStyle w:val="Prrafodelista"/>
        <w:spacing w:after="0" w:line="240" w:lineRule="auto"/>
        <w:jc w:val="both"/>
        <w:rPr>
          <w:rFonts w:ascii="Arial" w:hAnsi="Arial" w:cs="Arial"/>
          <w:color w:val="000000"/>
        </w:rPr>
      </w:pPr>
      <w:r w:rsidRPr="003D7C4E">
        <w:rPr>
          <w:rFonts w:ascii="Arial" w:hAnsi="Arial" w:cs="Arial"/>
          <w:color w:val="000000"/>
        </w:rPr>
        <w:t xml:space="preserve">En el 2º trimestre el Grupo de Defensa Jurídica recibió 71 nuevos asuntos, que una vez formalizada su contestación y/o registro en las bases de datos quedarán en los periodos posteriores incluidos en el acumulado de procesos en contra del MJD. Con corte al 30/06/19 se reportó un acumulado de 1251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  </w:t>
      </w:r>
    </w:p>
    <w:p w:rsidR="00800542" w:rsidRDefault="00800542" w:rsidP="00EB4788">
      <w:pPr>
        <w:pStyle w:val="Prrafodelista"/>
        <w:spacing w:after="0" w:line="240" w:lineRule="auto"/>
        <w:jc w:val="both"/>
        <w:rPr>
          <w:rFonts w:ascii="Arial" w:hAnsi="Arial" w:cs="Arial"/>
          <w:color w:val="000000"/>
        </w:rPr>
      </w:pPr>
    </w:p>
    <w:p w:rsidR="00800542" w:rsidRDefault="00800542" w:rsidP="00EB4788">
      <w:pPr>
        <w:pStyle w:val="Prrafodelista"/>
        <w:spacing w:after="0" w:line="240" w:lineRule="auto"/>
        <w:jc w:val="both"/>
        <w:rPr>
          <w:rFonts w:ascii="Arial" w:hAnsi="Arial" w:cs="Arial"/>
          <w:color w:val="000000"/>
        </w:rPr>
      </w:pPr>
      <w:r w:rsidRPr="00800542">
        <w:rPr>
          <w:rFonts w:ascii="Arial" w:hAnsi="Arial" w:cs="Arial"/>
          <w:color w:val="000000"/>
        </w:rPr>
        <w:t>En el 4º trimestre el Grupo de Defensa Jurídica recibió 264 nuevos asuntos, que una vez formalizada su contestación y/o registro en las bases de datos quedarán en los periodos posteriores incluidos en el acumulado de procesos en contra del MJD. Con corte al 31/12/19 se reportó un acumulado de 1243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w:t>
      </w:r>
    </w:p>
    <w:p w:rsidR="003D7C4E" w:rsidRDefault="003D7C4E" w:rsidP="00EB4788">
      <w:pPr>
        <w:pStyle w:val="Prrafodelista"/>
        <w:spacing w:after="0" w:line="240" w:lineRule="auto"/>
        <w:jc w:val="both"/>
        <w:rPr>
          <w:rFonts w:ascii="Arial" w:hAnsi="Arial" w:cs="Arial"/>
          <w:color w:val="000000"/>
        </w:rPr>
      </w:pPr>
    </w:p>
    <w:p w:rsidR="00800542" w:rsidRDefault="003D7C4E" w:rsidP="00800542">
      <w:pPr>
        <w:pStyle w:val="Prrafodelista"/>
        <w:spacing w:after="0" w:line="240" w:lineRule="auto"/>
        <w:jc w:val="both"/>
        <w:rPr>
          <w:rFonts w:ascii="Arial" w:hAnsi="Arial" w:cs="Arial"/>
          <w:color w:val="000000"/>
        </w:rPr>
      </w:pPr>
      <w:r w:rsidRPr="003D7C4E">
        <w:rPr>
          <w:rFonts w:ascii="Arial" w:hAnsi="Arial" w:cs="Arial"/>
          <w:color w:val="000000"/>
        </w:rPr>
        <w:t xml:space="preserve">POR INCLUSIÓN DEL NUEVO INDICADOR "TIEMPO QUE DEMORA LA ENTIDAD EN EL PAGO DE SENTENCIAS Y CONCILIACIONES" COMO PARTE DEL MODELO ÓPTIMO DE GESTIÓN -MOG- DE LA ANDJE, CUYA FRECUENCIA DE RECOLECCIÓN Y ANALISIS DE DATOS ES ANUAL; EL PRESENTE INDICADOR "GESTIÓN DE PAGO DE SENTENCIAS CONDENATORIAS Y CONCILIACIONES", SE REPORTA POR ÚLTIMA VEZ CON CORTE AL 30/04/19 (DATA DE FORMALIZACIÓN ANTE EL SIG DE LA HOJA DE VIDA DEL NUEVO INDICADOR): En el 2° trimestre no se registraron nuevos trámites de pago, y se continuó con dos (2) trámites que vienen del periodo anterior. En consecuencia, teniendo en cuenta que los pagos se realizan en la medida en que la entidad cuente con la totalidad de la documentación legal que deben aportar tanto beneficiarios como terceros; devienen adecuados, eficientes y razonables los </w:t>
      </w:r>
      <w:r w:rsidR="00860532" w:rsidRPr="003D7C4E">
        <w:rPr>
          <w:rFonts w:ascii="Arial" w:hAnsi="Arial" w:cs="Arial"/>
          <w:color w:val="000000"/>
        </w:rPr>
        <w:t>trámites</w:t>
      </w:r>
      <w:r w:rsidRPr="003D7C4E">
        <w:rPr>
          <w:rFonts w:ascii="Arial" w:hAnsi="Arial" w:cs="Arial"/>
          <w:color w:val="000000"/>
        </w:rPr>
        <w:t xml:space="preserve"> realizados hasta la fecha, es decir, los correspondientes a: (1) Gladys Barajas Ordoñez registrado en enero (viene del periodo anterior), cuya obligación se tramitó hasta la fecha de corte mediante Resolución 952 del 20/11/17, Resolución 450 del 25/05/18, Resolución 1296 del 11/12/18, y Resolución 376 del 08/04/19. Se sigue reportando mientras el despacho judicial profiere decisión de terminación del proceso por pago total; (2) Jorge Enrique Acuña García registrado en febrero, cuyo pago se encuentra en trámite a la fecha de corte.</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 gestionó la revisión de los actos administrativos sometidos a consideración de la Dirección Jurídica y se elaboraron aquellos solicitados. </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lastRenderedPageBreak/>
        <w:t>En el cuarto trimestre del 2019, fueron revisados/o elaborados sesenta y seis  (66) solicitudes de elaboración o revisión de actos administrativos (Decretos, resoluciones, conceptos y circulares).  Veinte (20) en octubre,  veintiocho (28) en noviembre y  dieciocho (18) en diciembre.</w:t>
      </w:r>
    </w:p>
    <w:p w:rsidR="00800542" w:rsidRPr="00800542" w:rsidRDefault="00800542" w:rsidP="00800542">
      <w:pPr>
        <w:pStyle w:val="Prrafodelista"/>
        <w:spacing w:after="0" w:line="240" w:lineRule="auto"/>
        <w:jc w:val="both"/>
        <w:rPr>
          <w:rFonts w:ascii="Arial" w:hAnsi="Arial" w:cs="Arial"/>
          <w:color w:val="000000"/>
        </w:rPr>
      </w:pPr>
    </w:p>
    <w:p w:rsidR="0086053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la vigencia 2019 se elaboraron y/o revisaron un total de doscientos cincuenta y seis (256)  actos administrativos</w:t>
      </w:r>
      <w:r w:rsidR="00860532" w:rsidRPr="00860532">
        <w:rPr>
          <w:rFonts w:ascii="Arial" w:hAnsi="Arial" w:cs="Arial"/>
          <w:color w:val="000000"/>
        </w:rPr>
        <w:t>.</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del año 2019, se tramitó  una (1)  consulta a la Sala de Consulta y Servicio Civil del Consejo de Estado.</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la vigencia 2019 se tramitaron 3 consultas a la Sala de Consulta y Servicio Civil del Consejo de Estado.</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Según el reporte de "La consulta maestra" generado por EPX y la matriz de seguimiento y control interna de la DJ,  con corte a 31/12/2019, una vez depuradas las inconsistencias, los resultados del indicador son:    </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periodo del 1 de octubre al 30 de diciembre de 2019, la Dirección Jurídica gestionó en total ciento ochenta y ocho (188) PQRS. Todas ellas dentro de términos, así: sesenta (60) en octubre, setenta (70) en noviembre y cincuenta y ocho (58) en diciembre.</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total del 1 de enero a 31 de diciembre de 2019, fueron  gestionadas novecientas veinticinco (925) PQRS</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de 2019, fueron atendidas en total cuarenta y cinco (45)  tutelas, correspondientes a igual número de tramitadas para conocimiento de la Dirección Jurídica. Todas en términos, así: once (11) en octubre, diecinueve (19) en noviembre y quince (15) en diciembre.</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Información tomada del cuadro de tutelas compartido en DRIVE., diligenciado por los funcionarios responsables de la proyección de las respuestas a las acciones de tutela</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Desde el 01 de enero al 31 de diciembre de 2019 en total se han atendido un total de doscientas veintitrés (223) acciones de tutela.</w:t>
      </w:r>
    </w:p>
    <w:p w:rsidR="001B4DA8" w:rsidRDefault="001B4DA8" w:rsidP="00800542">
      <w:pPr>
        <w:pStyle w:val="Prrafodelista"/>
        <w:spacing w:after="0" w:line="240" w:lineRule="auto"/>
        <w:jc w:val="both"/>
        <w:rPr>
          <w:rFonts w:ascii="Arial" w:hAnsi="Arial" w:cs="Arial"/>
          <w:color w:val="000000"/>
        </w:rPr>
      </w:pPr>
    </w:p>
    <w:p w:rsidR="001B4DA8" w:rsidRDefault="001B4DA8" w:rsidP="00800542">
      <w:pPr>
        <w:pStyle w:val="Prrafodelista"/>
        <w:spacing w:after="0" w:line="240" w:lineRule="auto"/>
        <w:jc w:val="both"/>
        <w:rPr>
          <w:rFonts w:ascii="Arial" w:hAnsi="Arial" w:cs="Arial"/>
          <w:color w:val="000000"/>
        </w:rPr>
      </w:pPr>
      <w:r w:rsidRPr="001B4DA8">
        <w:rPr>
          <w:rFonts w:ascii="Arial" w:hAnsi="Arial" w:cs="Arial"/>
          <w:color w:val="000000"/>
        </w:rPr>
        <w:t>Teniendo en cuenta que el trámite de todas las solicitudes de conciliación inicia en el mes en que se radican los traslados en el MJD mediante la asignación inmediata del caso al apoderado a cargo, finalizando su gestión en ese mismo periodo o en los siguientes, según las sesiones del Comité de Conciliación y las citaciones a las audiencias de conciliación correspondientes; devienen razonables, eficientes y adecuados los trámites realizados con respecto a las fichas técnicas (51) tramitadas en el periodo.</w:t>
      </w:r>
    </w:p>
    <w:p w:rsidR="00860532" w:rsidRDefault="00860532" w:rsidP="0070244D">
      <w:pPr>
        <w:pStyle w:val="Prrafodelista"/>
        <w:spacing w:after="0" w:line="240" w:lineRule="auto"/>
        <w:rPr>
          <w:rFonts w:ascii="Arial" w:hAnsi="Arial" w:cs="Arial"/>
          <w:color w:val="000000"/>
        </w:rPr>
      </w:pPr>
    </w:p>
    <w:p w:rsidR="00EB4788" w:rsidRDefault="00EB4788"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EB4788" w:rsidRPr="00EB4788" w:rsidRDefault="00EB4788" w:rsidP="00EB4788">
      <w:pPr>
        <w:autoSpaceDE w:val="0"/>
        <w:autoSpaceDN w:val="0"/>
        <w:adjustRightInd w:val="0"/>
        <w:spacing w:after="0" w:line="240" w:lineRule="auto"/>
        <w:rPr>
          <w:rFonts w:ascii="Arial" w:hAnsi="Arial" w:cs="Arial"/>
          <w:b/>
          <w:bCs/>
          <w:color w:val="2F5497"/>
        </w:rPr>
      </w:pPr>
      <w:r w:rsidRPr="00EB4788">
        <w:rPr>
          <w:rFonts w:ascii="Arial" w:hAnsi="Arial" w:cs="Arial"/>
          <w:b/>
          <w:bCs/>
          <w:color w:val="2F5497"/>
        </w:rPr>
        <w:lastRenderedPageBreak/>
        <w:t>Proceso</w:t>
      </w:r>
      <w:r>
        <w:rPr>
          <w:rFonts w:ascii="Arial" w:hAnsi="Arial" w:cs="Arial"/>
          <w:b/>
          <w:bCs/>
          <w:color w:val="2F5497"/>
        </w:rPr>
        <w:t xml:space="preserve"> </w:t>
      </w:r>
      <w:r w:rsidRPr="00EB4788">
        <w:rPr>
          <w:rFonts w:ascii="Arial" w:hAnsi="Arial" w:cs="Arial"/>
          <w:b/>
          <w:bCs/>
          <w:color w:val="2F5497"/>
        </w:rPr>
        <w:t>Gestión Documental</w:t>
      </w:r>
    </w:p>
    <w:p w:rsidR="00EB4788" w:rsidRPr="00EB4788" w:rsidRDefault="00EB4788" w:rsidP="00EB4788">
      <w:pPr>
        <w:widowControl w:val="0"/>
        <w:spacing w:after="120" w:line="285" w:lineRule="auto"/>
        <w:rPr>
          <w:rFonts w:ascii="Georgia" w:eastAsia="Times New Roman" w:hAnsi="Georgia" w:cs="Times New Roman"/>
          <w:color w:val="000000"/>
          <w:kern w:val="28"/>
          <w:sz w:val="20"/>
          <w:szCs w:val="20"/>
          <w:lang w:eastAsia="es-CO"/>
          <w14:cntxtAlts/>
        </w:rPr>
      </w:pPr>
      <w:r w:rsidRPr="00EB4788">
        <w:rPr>
          <w:rFonts w:ascii="Georgia" w:eastAsia="Times New Roman" w:hAnsi="Georgia" w:cs="Times New Roman"/>
          <w:color w:val="000000"/>
          <w:kern w:val="28"/>
          <w:sz w:val="20"/>
          <w:szCs w:val="20"/>
          <w:lang w:eastAsia="es-CO"/>
          <w14:cntxtAlts/>
        </w:rPr>
        <w:t> </w:t>
      </w:r>
    </w:p>
    <w:p w:rsidR="00EB4788" w:rsidRDefault="0058407F" w:rsidP="00EB4788">
      <w:pPr>
        <w:spacing w:after="0" w:line="240" w:lineRule="auto"/>
        <w:jc w:val="center"/>
        <w:rPr>
          <w:rFonts w:ascii="Arial" w:hAnsi="Arial" w:cs="Arial"/>
          <w:color w:val="000000"/>
        </w:rPr>
      </w:pPr>
      <w:r>
        <w:rPr>
          <w:noProof/>
          <w:lang w:eastAsia="es-CO"/>
        </w:rPr>
        <w:drawing>
          <wp:inline distT="0" distB="0" distL="0" distR="0" wp14:anchorId="5FCFE334" wp14:editId="5E02A3FF">
            <wp:extent cx="2314575" cy="1819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819275"/>
                    </a:xfrm>
                    <a:prstGeom prst="rect">
                      <a:avLst/>
                    </a:prstGeom>
                  </pic:spPr>
                </pic:pic>
              </a:graphicData>
            </a:graphic>
          </wp:inline>
        </w:drawing>
      </w:r>
    </w:p>
    <w:p w:rsidR="00EB4788" w:rsidRDefault="00EB4788" w:rsidP="00EB4788">
      <w:pPr>
        <w:spacing w:after="0" w:line="240" w:lineRule="auto"/>
        <w:jc w:val="center"/>
        <w:rPr>
          <w:rFonts w:ascii="Arial" w:hAnsi="Arial" w:cs="Arial"/>
          <w:color w:val="000000"/>
        </w:rPr>
      </w:pPr>
    </w:p>
    <w:p w:rsidR="000642F7" w:rsidRPr="0058407F" w:rsidRDefault="000642F7" w:rsidP="00626DD6">
      <w:pPr>
        <w:pStyle w:val="Prrafodelista"/>
        <w:spacing w:after="0" w:line="240" w:lineRule="auto"/>
        <w:rPr>
          <w:rFonts w:ascii="Arial" w:hAnsi="Arial" w:cs="Arial"/>
          <w:b/>
          <w:color w:val="000000"/>
        </w:rPr>
      </w:pPr>
    </w:p>
    <w:p w:rsidR="00BC0C1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Tablas de retención documental actualizadas</w:t>
      </w:r>
      <w:r>
        <w:rPr>
          <w:rFonts w:ascii="Arial" w:hAnsi="Arial" w:cs="Arial"/>
          <w:b/>
          <w:color w:val="000000"/>
        </w:rPr>
        <w:t>.</w:t>
      </w:r>
    </w:p>
    <w:p w:rsidR="0058407F" w:rsidRDefault="0058407F" w:rsidP="000F7D28">
      <w:pPr>
        <w:pStyle w:val="Prrafodelista"/>
        <w:spacing w:after="0" w:line="240" w:lineRule="auto"/>
        <w:rPr>
          <w:rFonts w:ascii="Arial" w:hAnsi="Arial" w:cs="Arial"/>
          <w:b/>
          <w:color w:val="000000"/>
        </w:rPr>
      </w:pPr>
    </w:p>
    <w:p w:rsidR="0058407F" w:rsidRPr="0058407F" w:rsidRDefault="0058407F" w:rsidP="000F7D28">
      <w:pPr>
        <w:pStyle w:val="Prrafodelista"/>
        <w:spacing w:after="0" w:line="240" w:lineRule="auto"/>
        <w:rPr>
          <w:rFonts w:ascii="Arial" w:hAnsi="Arial" w:cs="Arial"/>
          <w:b/>
          <w:color w:val="000000"/>
        </w:rPr>
      </w:pP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Primer trimestre: Para este trimestre se realiza aplicación  de las TRD para Oficina Asesora Jurídica y Grupo de Gestión Humana  del  avance corresponde a 1,5%.  </w:t>
      </w: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Segundo trimestre:</w:t>
      </w:r>
      <w:r>
        <w:rPr>
          <w:rFonts w:ascii="Arial" w:hAnsi="Arial" w:cs="Arial"/>
          <w:color w:val="000000"/>
        </w:rPr>
        <w:t xml:space="preserve"> </w:t>
      </w:r>
      <w:r w:rsidRPr="0058407F">
        <w:rPr>
          <w:rFonts w:ascii="Arial" w:hAnsi="Arial" w:cs="Arial"/>
          <w:color w:val="000000"/>
        </w:rPr>
        <w:t xml:space="preserve">Para el segundo trimestre seis (6) dependencias realizaron transferencia documental para un cumplimiento de del 66.7% respecto al avance esperado. </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Tercer trimestre: Para el tercer trimestre (</w:t>
      </w:r>
      <w:r>
        <w:rPr>
          <w:rFonts w:ascii="Arial" w:hAnsi="Arial" w:cs="Arial"/>
          <w:color w:val="000000"/>
        </w:rPr>
        <w:t>3)</w:t>
      </w:r>
      <w:r w:rsidRPr="0058407F">
        <w:rPr>
          <w:rFonts w:ascii="Arial" w:hAnsi="Arial" w:cs="Arial"/>
          <w:color w:val="000000"/>
        </w:rPr>
        <w:t xml:space="preserve">  dependencias realizaron transferencias documentales para un cumplimiento del 71,4 % y se aplazamiento de la oficina Jurídica Grupo Defensa Jurídica MJD-MEM19-0007355.     </w:t>
      </w:r>
    </w:p>
    <w:p w:rsidR="0058407F" w:rsidRDefault="0058407F" w:rsidP="0058407F">
      <w:pPr>
        <w:pStyle w:val="Prrafodelista"/>
        <w:spacing w:after="0" w:line="240" w:lineRule="auto"/>
        <w:jc w:val="both"/>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Cuarto trimestre Se cumplió con  el cronograma de transferencias Documental establecida MJD-MEM19-0002052-cronograma de transferencia al 100 %  se evidencia que se realizaron transferencias adicionales los cuales muestra la aplicación de los tiempos de retención documental que se encuentran en las TRD y permite descongestionar los archivos de las oficinas.</w:t>
      </w:r>
    </w:p>
    <w:p w:rsidR="0058407F" w:rsidRDefault="0058407F" w:rsidP="000F7D28">
      <w:pPr>
        <w:pStyle w:val="Prrafodelista"/>
        <w:spacing w:after="0" w:line="240" w:lineRule="auto"/>
        <w:rPr>
          <w:rFonts w:ascii="Arial" w:hAnsi="Arial" w:cs="Arial"/>
          <w:color w:val="000000"/>
        </w:rPr>
      </w:pPr>
    </w:p>
    <w:p w:rsidR="0058407F" w:rsidRDefault="0058407F" w:rsidP="000F7D28">
      <w:pPr>
        <w:pStyle w:val="Prrafodelista"/>
        <w:spacing w:after="0" w:line="240" w:lineRule="auto"/>
        <w:rPr>
          <w:rFonts w:ascii="Arial" w:hAnsi="Arial" w:cs="Arial"/>
          <w:color w:val="000000"/>
        </w:rPr>
      </w:pPr>
    </w:p>
    <w:p w:rsidR="0058407F" w:rsidRPr="0058407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Registro de correspondencia recibida</w:t>
      </w:r>
    </w:p>
    <w:p w:rsidR="0058407F" w:rsidRDefault="0058407F" w:rsidP="000F7D28">
      <w:pPr>
        <w:pStyle w:val="Prrafodelista"/>
        <w:spacing w:after="0" w:line="240" w:lineRule="auto"/>
        <w:rPr>
          <w:rFonts w:ascii="Arial" w:hAnsi="Arial" w:cs="Arial"/>
          <w:color w:val="000000"/>
        </w:rPr>
      </w:pPr>
    </w:p>
    <w:p w:rsidR="0058407F" w:rsidRDefault="0058407F" w:rsidP="000F7D28">
      <w:pPr>
        <w:pStyle w:val="Prrafodelista"/>
        <w:spacing w:after="0" w:line="240" w:lineRule="auto"/>
        <w:rPr>
          <w:rFonts w:ascii="Arial" w:hAnsi="Arial" w:cs="Arial"/>
          <w:color w:val="000000"/>
        </w:rPr>
      </w:pPr>
    </w:p>
    <w:p w:rsidR="0058407F" w:rsidRP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Primer trimestre: Durante el primer trimestre  se obtuvo un  98,7 % de efectividad  debido que fueron radicados correctamente  8717 documentos.                                                  </w:t>
      </w:r>
    </w:p>
    <w:p w:rsidR="0058407F" w:rsidRPr="0058407F" w:rsidRDefault="0058407F" w:rsidP="0058407F">
      <w:pPr>
        <w:pStyle w:val="Prrafodelista"/>
        <w:spacing w:after="0" w:line="240" w:lineRule="auto"/>
        <w:rPr>
          <w:rFonts w:ascii="Arial" w:hAnsi="Arial" w:cs="Arial"/>
          <w:color w:val="000000"/>
        </w:rPr>
      </w:pP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Segundo trimestre: Durante el segundo trimestre  se obtuvo un  92,1 % de efectividad  debido que fueron radicados correctamente 7,251documentos de un total de 7,870 tramitados por este medio.            </w:t>
      </w: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                                                                                                                                                                                         Tercer Trimestre: se obtuvo un  98,8 % de efectividad  debido que fueron radicados correctamente 9,135 documentos de un total de 9,243 tramitados por este medio, tomando en cuenta que se realiza una verificación aleatoria.       </w:t>
      </w: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                                                                                                                                                                                                                                                                                                                                                                                                                         Cuarto trimestre: Durante el periodo reportado, se realizó la radicación por ventanilla de 33.369 documentos de las cuales se detectó error en 1.371 radicados, para una efectividad del 95.9%, </w:t>
      </w:r>
      <w:r w:rsidRPr="0058407F">
        <w:rPr>
          <w:rFonts w:ascii="Arial" w:hAnsi="Arial" w:cs="Arial"/>
          <w:color w:val="000000"/>
        </w:rPr>
        <w:lastRenderedPageBreak/>
        <w:t>lo anterior basándonos en los datos obtenidos a partir del seguimiento realizado por el Grupo de Gestión Documental así como de los incidentes reportados por las dependencias al respecto.</w:t>
      </w:r>
    </w:p>
    <w:p w:rsidR="0058407F" w:rsidRDefault="0058407F" w:rsidP="000F7D28">
      <w:pPr>
        <w:pStyle w:val="Prrafodelista"/>
        <w:spacing w:after="0" w:line="240" w:lineRule="auto"/>
        <w:rPr>
          <w:rFonts w:ascii="Arial" w:hAnsi="Arial" w:cs="Arial"/>
          <w:color w:val="000000"/>
        </w:rPr>
      </w:pPr>
    </w:p>
    <w:p w:rsidR="0058407F" w:rsidRPr="0058407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Registro de correspondencia externa despachada</w:t>
      </w:r>
    </w:p>
    <w:p w:rsidR="0058407F" w:rsidRDefault="0058407F" w:rsidP="000F7D28">
      <w:pPr>
        <w:pStyle w:val="Prrafodelista"/>
        <w:spacing w:after="0" w:line="240" w:lineRule="auto"/>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Segundo trimestre: Del total de oficios registrados en mesa de salida durante el segundo trimestre, se realizó el envío sin ocasión devolutiva de 2154, lográndose una efectividad del 93,7%.                                                                                                      </w:t>
      </w:r>
    </w:p>
    <w:p w:rsidR="0058407F" w:rsidRDefault="0058407F" w:rsidP="0058407F">
      <w:pPr>
        <w:pStyle w:val="Prrafodelista"/>
        <w:spacing w:after="0" w:line="240" w:lineRule="auto"/>
        <w:jc w:val="both"/>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Tercer trimestre: Del total de oficios registrados en mesa de salida durante el segundo trimestre, se realizó el envío sin ocasión devolutiva de 2479, lográndose una efectividad del 94,2%.                                                                                             </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w:t>
      </w: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Cuarto trimestre: se realizó el despacho por  correo certificado de 8.738 documentos obteniéndose un total de 535 devoluciones, para una eficacia del 93.9%.</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No obstante lo anterior, cabe resaltar que se obtuvo una disminución del 42.5% en las devoluciones con respecto de la vigencia 2018.  Lo anterior obedece, no solo a la actualización de procedimientos y establecimiento de puntos de control, sino también a los ejercicios de retroalimentación con las dependencias y el operador de correo postal 4-72.   </w:t>
      </w:r>
    </w:p>
    <w:p w:rsidR="0058407F" w:rsidRDefault="0058407F" w:rsidP="000F7D28">
      <w:pPr>
        <w:pStyle w:val="Prrafodelista"/>
        <w:spacing w:after="0" w:line="240" w:lineRule="auto"/>
        <w:rPr>
          <w:rFonts w:ascii="Arial" w:hAnsi="Arial" w:cs="Arial"/>
          <w:color w:val="000000"/>
        </w:rPr>
      </w:pPr>
    </w:p>
    <w:p w:rsidR="000642F7" w:rsidRDefault="000642F7" w:rsidP="00626DD6">
      <w:pPr>
        <w:spacing w:after="0" w:line="240" w:lineRule="auto"/>
        <w:rPr>
          <w:rFonts w:ascii="Arial" w:hAnsi="Arial" w:cs="Arial"/>
          <w:color w:val="000000"/>
        </w:rPr>
      </w:pPr>
      <w:r w:rsidRPr="000642F7">
        <w:rPr>
          <w:noProof/>
          <w:color w:val="000000" w:themeColor="text1"/>
          <w:sz w:val="96"/>
          <w:szCs w:val="96"/>
          <w:lang w:eastAsia="es-CO"/>
        </w:rPr>
        <mc:AlternateContent>
          <mc:Choice Requires="wps">
            <w:drawing>
              <wp:anchor distT="0" distB="0" distL="114300" distR="114300" simplePos="0" relativeHeight="251703296" behindDoc="0" locked="0" layoutInCell="1" allowOverlap="1" wp14:anchorId="4D731576" wp14:editId="530B2C54">
                <wp:simplePos x="0" y="0"/>
                <wp:positionH relativeFrom="margin">
                  <wp:posOffset>714375</wp:posOffset>
                </wp:positionH>
                <wp:positionV relativeFrom="paragraph">
                  <wp:posOffset>142240</wp:posOffset>
                </wp:positionV>
                <wp:extent cx="5010150" cy="333375"/>
                <wp:effectExtent l="95250" t="57150" r="114300" b="142875"/>
                <wp:wrapNone/>
                <wp:docPr id="45" name="Proceso 45"/>
                <wp:cNvGraphicFramePr/>
                <a:graphic xmlns:a="http://schemas.openxmlformats.org/drawingml/2006/main">
                  <a:graphicData uri="http://schemas.microsoft.com/office/word/2010/wordprocessingShape">
                    <wps:wsp>
                      <wps:cNvSpPr/>
                      <wps:spPr>
                        <a:xfrm>
                          <a:off x="0" y="0"/>
                          <a:ext cx="5010150" cy="333375"/>
                        </a:xfrm>
                        <a:prstGeom prst="flowChartProcess">
                          <a:avLst/>
                        </a:prstGeom>
                        <a:solidFill>
                          <a:schemeClr val="accent2">
                            <a:lumMod val="75000"/>
                          </a:schemeClr>
                        </a:solidFill>
                        <a:ln>
                          <a:solidFill>
                            <a:srgbClr val="CBA9E5"/>
                          </a:solidFill>
                        </a:ln>
                        <a:effectLst>
                          <a:outerShdw blurRad="57150" dist="19050" dir="5400000" algn="ctr" rotWithShape="0">
                            <a:srgbClr val="000000">
                              <a:alpha val="63000"/>
                            </a:srgbClr>
                          </a:outerShdw>
                        </a:effectLst>
                        <a:scene3d>
                          <a:camera prst="orthographicFront"/>
                          <a:lightRig rig="threePt" dir="t"/>
                        </a:scene3d>
                        <a:sp3d>
                          <a:bevelT prst="angle"/>
                        </a:sp3d>
                      </wps:spPr>
                      <wps:txbx>
                        <w:txbxContent>
                          <w:p w:rsidR="0058407F" w:rsidRPr="00207EAD" w:rsidRDefault="0058407F"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31576" id="Proceso 45" o:spid="_x0000_s1041" type="#_x0000_t109" style="position:absolute;margin-left:56.25pt;margin-top:11.2pt;width:394.5pt;height:26.2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" fillcolor="#c45911 [2405]" strokecolor="#cba9e5">
                <v:shadow on="t" color="black" opacity="41287f" offset="0,1.5pt"/>
                <v:textbox>
                  <w:txbxContent>
                    <w:p w:rsidR="0058407F" w:rsidRPr="00207EAD" w:rsidRDefault="0058407F"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v:textbox>
                <w10:wrap anchorx="margin"/>
              </v:shape>
            </w:pict>
          </mc:Fallback>
        </mc:AlternateContent>
      </w:r>
    </w:p>
    <w:p w:rsidR="00EB4788" w:rsidRDefault="000642F7" w:rsidP="000642F7">
      <w:pPr>
        <w:tabs>
          <w:tab w:val="left" w:pos="9390"/>
        </w:tabs>
        <w:rPr>
          <w:rFonts w:ascii="Arial" w:hAnsi="Arial" w:cs="Arial"/>
        </w:rPr>
      </w:pPr>
      <w:r>
        <w:rPr>
          <w:rFonts w:ascii="Arial" w:hAnsi="Arial" w:cs="Arial"/>
        </w:rPr>
        <w:tab/>
      </w:r>
    </w:p>
    <w:p w:rsidR="000642F7" w:rsidRDefault="000642F7" w:rsidP="000642F7">
      <w:pPr>
        <w:tabs>
          <w:tab w:val="left" w:pos="9390"/>
        </w:tabs>
        <w:rPr>
          <w:rFonts w:ascii="Arial" w:hAnsi="Arial" w:cs="Arial"/>
        </w:rPr>
      </w:pPr>
    </w:p>
    <w:p w:rsidR="000642F7" w:rsidRDefault="000642F7" w:rsidP="000642F7">
      <w:pPr>
        <w:tabs>
          <w:tab w:val="left" w:pos="9390"/>
        </w:tabs>
        <w:jc w:val="both"/>
        <w:rPr>
          <w:rFonts w:ascii="Arial" w:hAnsi="Arial" w:cs="Arial"/>
        </w:rPr>
      </w:pPr>
    </w:p>
    <w:p w:rsidR="008872F2" w:rsidRDefault="008872F2" w:rsidP="008872F2">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w:t>
      </w:r>
      <w:r w:rsidRPr="008872F2">
        <w:rPr>
          <w:rFonts w:ascii="Arial" w:hAnsi="Arial" w:cs="Arial"/>
          <w:b/>
          <w:bCs/>
          <w:color w:val="2F5497"/>
        </w:rPr>
        <w:t>Seguimiento y Evaluación</w:t>
      </w:r>
    </w:p>
    <w:p w:rsidR="0058407F" w:rsidRDefault="0058407F" w:rsidP="008872F2">
      <w:pPr>
        <w:autoSpaceDE w:val="0"/>
        <w:autoSpaceDN w:val="0"/>
        <w:adjustRightInd w:val="0"/>
        <w:spacing w:after="0" w:line="240" w:lineRule="auto"/>
        <w:rPr>
          <w:rFonts w:ascii="Arial" w:hAnsi="Arial" w:cs="Arial"/>
          <w:b/>
          <w:bCs/>
          <w:color w:val="2F5497"/>
        </w:rPr>
      </w:pPr>
    </w:p>
    <w:p w:rsidR="008872F2" w:rsidRDefault="0058407F" w:rsidP="0058407F">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582B4B0C" wp14:editId="2ADFAD93">
            <wp:extent cx="1657350" cy="1514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7350" cy="1514475"/>
                    </a:xfrm>
                    <a:prstGeom prst="rect">
                      <a:avLst/>
                    </a:prstGeom>
                  </pic:spPr>
                </pic:pic>
              </a:graphicData>
            </a:graphic>
          </wp:inline>
        </w:drawing>
      </w:r>
    </w:p>
    <w:p w:rsidR="0058407F" w:rsidRDefault="0058407F" w:rsidP="005B7CA9">
      <w:pPr>
        <w:tabs>
          <w:tab w:val="left" w:pos="9390"/>
        </w:tabs>
        <w:jc w:val="both"/>
        <w:rPr>
          <w:rFonts w:ascii="Arial" w:hAnsi="Arial" w:cs="Arial"/>
        </w:rPr>
      </w:pPr>
    </w:p>
    <w:p w:rsidR="0058407F" w:rsidRPr="0058407F" w:rsidRDefault="0058407F" w:rsidP="0058407F">
      <w:pPr>
        <w:tabs>
          <w:tab w:val="left" w:pos="9390"/>
        </w:tabs>
        <w:jc w:val="both"/>
        <w:rPr>
          <w:rFonts w:ascii="Arial" w:hAnsi="Arial" w:cs="Arial"/>
        </w:rPr>
      </w:pPr>
      <w:r w:rsidRPr="0058407F">
        <w:rPr>
          <w:rFonts w:ascii="Arial" w:hAnsi="Arial" w:cs="Arial"/>
        </w:rPr>
        <w:t>Dentro de lo programado en el Plan de Anual de la Oficina de Control Interno 2019, se contempló la realización de una (1) auditoría  para el primer trimestre. La auditoría realizad</w:t>
      </w:r>
      <w:r w:rsidR="0011016B">
        <w:rPr>
          <w:rFonts w:ascii="Arial" w:hAnsi="Arial" w:cs="Arial"/>
        </w:rPr>
        <w:t xml:space="preserve">a en el primer  trimestre fue: </w:t>
      </w:r>
    </w:p>
    <w:p w:rsidR="0058407F" w:rsidRPr="0058407F" w:rsidRDefault="0058407F" w:rsidP="0058407F">
      <w:pPr>
        <w:pStyle w:val="Prrafodelista"/>
        <w:numPr>
          <w:ilvl w:val="0"/>
          <w:numId w:val="36"/>
        </w:numPr>
        <w:tabs>
          <w:tab w:val="left" w:pos="9390"/>
        </w:tabs>
        <w:jc w:val="both"/>
        <w:rPr>
          <w:rFonts w:ascii="Arial" w:hAnsi="Arial" w:cs="Arial"/>
        </w:rPr>
      </w:pPr>
      <w:r w:rsidRPr="0058407F">
        <w:rPr>
          <w:rFonts w:ascii="Arial" w:hAnsi="Arial" w:cs="Arial"/>
        </w:rPr>
        <w:t>Auditoría -  Evaluación y verificación al plan de mejoramiento Institucional- CGR.</w:t>
      </w:r>
    </w:p>
    <w:p w:rsidR="0058407F" w:rsidRPr="0011016B" w:rsidRDefault="0058407F" w:rsidP="0011016B">
      <w:pPr>
        <w:tabs>
          <w:tab w:val="left" w:pos="9390"/>
        </w:tabs>
        <w:jc w:val="both"/>
        <w:rPr>
          <w:rFonts w:ascii="Arial" w:hAnsi="Arial" w:cs="Arial"/>
        </w:rPr>
      </w:pPr>
      <w:r w:rsidRPr="0011016B">
        <w:rPr>
          <w:rFonts w:ascii="Arial" w:hAnsi="Arial" w:cs="Arial"/>
        </w:rPr>
        <w:t xml:space="preserve">Dentro de lo programado en el Plan de Anual de la Oficina de Control Interno 2019, se contempló la realización de dos (2) auditoría  para el segundo trimestre, no obstante, se realizaron tres (3) auditorías en el segundo trimestre, así: </w:t>
      </w:r>
    </w:p>
    <w:p w:rsidR="0058407F" w:rsidRPr="0058407F" w:rsidRDefault="0058407F" w:rsidP="0058407F">
      <w:pPr>
        <w:pStyle w:val="Prrafodelista"/>
        <w:tabs>
          <w:tab w:val="left" w:pos="9390"/>
        </w:tabs>
        <w:jc w:val="both"/>
        <w:rPr>
          <w:rFonts w:ascii="Arial" w:hAnsi="Arial" w:cs="Arial"/>
        </w:rPr>
      </w:pP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t>1.  Evaluación y verificación al plan de mejoramiento Institucional- CGR.</w:t>
      </w: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lastRenderedPageBreak/>
        <w:t>2. Evaluación y verificación de los trámites asociados a las licencias de cultivos de plantas de cannabis psicoactivo y no psicoactivo, tanto como la licencia de uso de semillas de cannabis para siembra.</w:t>
      </w: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t xml:space="preserve">3. </w:t>
      </w:r>
      <w:r>
        <w:rPr>
          <w:rFonts w:ascii="Arial" w:hAnsi="Arial" w:cs="Arial"/>
        </w:rPr>
        <w:t>Evaluación</w:t>
      </w:r>
      <w:r w:rsidRPr="0058407F">
        <w:rPr>
          <w:rFonts w:ascii="Arial" w:hAnsi="Arial" w:cs="Arial"/>
        </w:rPr>
        <w:t xml:space="preserve"> y verificación al proyecto "Casa Libertad" en el marco de la política criminal y penitenciaria.</w:t>
      </w:r>
    </w:p>
    <w:p w:rsidR="0058407F" w:rsidRPr="0058407F" w:rsidRDefault="0058407F" w:rsidP="0058407F">
      <w:pPr>
        <w:pStyle w:val="Prrafodelista"/>
        <w:tabs>
          <w:tab w:val="left" w:pos="9390"/>
        </w:tabs>
        <w:jc w:val="both"/>
        <w:rPr>
          <w:rFonts w:ascii="Arial" w:hAnsi="Arial" w:cs="Arial"/>
          <w:b/>
        </w:rPr>
      </w:pPr>
      <w:r w:rsidRPr="0058407F">
        <w:rPr>
          <w:rFonts w:ascii="Arial" w:hAnsi="Arial" w:cs="Arial"/>
          <w:b/>
        </w:rPr>
        <w:t xml:space="preserve"> </w:t>
      </w:r>
    </w:p>
    <w:p w:rsidR="0058407F" w:rsidRDefault="0058407F" w:rsidP="0058407F">
      <w:pPr>
        <w:pStyle w:val="Prrafodelista"/>
        <w:tabs>
          <w:tab w:val="left" w:pos="9390"/>
        </w:tabs>
        <w:jc w:val="both"/>
        <w:rPr>
          <w:rFonts w:ascii="Arial" w:hAnsi="Arial" w:cs="Arial"/>
        </w:rPr>
      </w:pPr>
      <w:r w:rsidRPr="0058407F">
        <w:rPr>
          <w:rFonts w:ascii="Arial" w:hAnsi="Arial" w:cs="Arial"/>
          <w:b/>
        </w:rPr>
        <w:t>NOTA:</w:t>
      </w:r>
      <w:r w:rsidRPr="0058407F">
        <w:rPr>
          <w:rFonts w:ascii="Arial" w:hAnsi="Arial" w:cs="Arial"/>
        </w:rPr>
        <w:t xml:space="preserve"> La meta del indicador fue ajustada de acuerdo con los cambios realizados en la programación anual de auditoria, los cuales fueron aprobados mediante acta del 11 de abril de 2019 por el Comité Institucional de </w:t>
      </w:r>
      <w:r>
        <w:rPr>
          <w:rFonts w:ascii="Arial" w:hAnsi="Arial" w:cs="Arial"/>
        </w:rPr>
        <w:t>Coordinación de Control Interno.</w:t>
      </w:r>
    </w:p>
    <w:p w:rsidR="005B7CA9" w:rsidRPr="005B7CA9" w:rsidRDefault="005B7CA9" w:rsidP="005B7CA9">
      <w:pPr>
        <w:tabs>
          <w:tab w:val="left" w:pos="9390"/>
        </w:tabs>
        <w:jc w:val="both"/>
        <w:rPr>
          <w:rFonts w:ascii="Arial" w:hAnsi="Arial" w:cs="Arial"/>
        </w:rPr>
      </w:pPr>
      <w:r>
        <w:rPr>
          <w:rFonts w:ascii="Arial" w:hAnsi="Arial" w:cs="Arial"/>
        </w:rPr>
        <w:t>D</w:t>
      </w:r>
      <w:r w:rsidRPr="005B7CA9">
        <w:rPr>
          <w:rFonts w:ascii="Arial" w:hAnsi="Arial" w:cs="Arial"/>
        </w:rPr>
        <w:t xml:space="preserve">entro de lo programado en el Plan de Anual de la Oficina de Control Interno 2019, se contempló la realización de tres (3) auditoría para el tercer trimestre, las cuales se ejecutaron dentro del periodo, así: </w:t>
      </w:r>
    </w:p>
    <w:p w:rsidR="005B7CA9" w:rsidRPr="005B7CA9" w:rsidRDefault="005B7CA9" w:rsidP="0011016B">
      <w:pPr>
        <w:tabs>
          <w:tab w:val="left" w:pos="9390"/>
        </w:tabs>
        <w:ind w:left="708"/>
        <w:jc w:val="both"/>
        <w:rPr>
          <w:rFonts w:ascii="Arial" w:hAnsi="Arial" w:cs="Arial"/>
        </w:rPr>
      </w:pPr>
      <w:r w:rsidRPr="005B7CA9">
        <w:rPr>
          <w:rFonts w:ascii="Arial" w:hAnsi="Arial" w:cs="Arial"/>
        </w:rPr>
        <w:t>1.  Evaluación y verificación al plan de mejoramiento Institucional- CGR.</w:t>
      </w:r>
    </w:p>
    <w:p w:rsidR="005B7CA9" w:rsidRPr="005B7CA9" w:rsidRDefault="005B7CA9" w:rsidP="0011016B">
      <w:pPr>
        <w:tabs>
          <w:tab w:val="left" w:pos="9390"/>
        </w:tabs>
        <w:ind w:left="708"/>
        <w:jc w:val="both"/>
        <w:rPr>
          <w:rFonts w:ascii="Arial" w:hAnsi="Arial" w:cs="Arial"/>
        </w:rPr>
      </w:pPr>
      <w:r w:rsidRPr="005B7CA9">
        <w:rPr>
          <w:rFonts w:ascii="Arial" w:hAnsi="Arial" w:cs="Arial"/>
        </w:rPr>
        <w:t>2. Evaluación y verificación a la gestión contractual de un proyecto o programa misional.</w:t>
      </w:r>
    </w:p>
    <w:p w:rsidR="005B7CA9" w:rsidRPr="005B7CA9" w:rsidRDefault="005B7CA9" w:rsidP="0011016B">
      <w:pPr>
        <w:tabs>
          <w:tab w:val="left" w:pos="9390"/>
        </w:tabs>
        <w:ind w:left="708"/>
        <w:jc w:val="both"/>
        <w:rPr>
          <w:rFonts w:ascii="Arial" w:hAnsi="Arial" w:cs="Arial"/>
        </w:rPr>
      </w:pPr>
      <w:r w:rsidRPr="005B7CA9">
        <w:rPr>
          <w:rFonts w:ascii="Arial" w:hAnsi="Arial" w:cs="Arial"/>
        </w:rPr>
        <w:t>3. Evaluación y verificación al trámite asociado a certificados de carencia de informes por tráfico de estupefaciente y autorizaciones extraordinarias para manejo de sustancia químicas controladas.</w:t>
      </w:r>
    </w:p>
    <w:p w:rsidR="0058407F" w:rsidRPr="0058407F" w:rsidRDefault="0058407F" w:rsidP="0058407F">
      <w:pPr>
        <w:tabs>
          <w:tab w:val="left" w:pos="9390"/>
        </w:tabs>
        <w:jc w:val="both"/>
        <w:rPr>
          <w:rFonts w:ascii="Arial" w:hAnsi="Arial" w:cs="Arial"/>
        </w:rPr>
      </w:pPr>
      <w:r w:rsidRPr="0058407F">
        <w:rPr>
          <w:rFonts w:ascii="Arial" w:hAnsi="Arial" w:cs="Arial"/>
        </w:rPr>
        <w:t>Dentro de lo programado en el Plan de Anual de la Oficina de Control Interno 2019, se contempló la realización de tres (3) auditoría  para el cuarto trimestre, las cuales se ejecu</w:t>
      </w:r>
      <w:r w:rsidR="0011016B">
        <w:rPr>
          <w:rFonts w:ascii="Arial" w:hAnsi="Arial" w:cs="Arial"/>
        </w:rPr>
        <w:t xml:space="preserve">taron dentro del periodo, así: </w:t>
      </w:r>
    </w:p>
    <w:p w:rsidR="0058407F" w:rsidRPr="0058407F" w:rsidRDefault="0058407F" w:rsidP="0011016B">
      <w:pPr>
        <w:tabs>
          <w:tab w:val="left" w:pos="9390"/>
        </w:tabs>
        <w:ind w:left="708"/>
        <w:jc w:val="both"/>
        <w:rPr>
          <w:rFonts w:ascii="Arial" w:hAnsi="Arial" w:cs="Arial"/>
        </w:rPr>
      </w:pPr>
      <w:r w:rsidRPr="0058407F">
        <w:rPr>
          <w:rFonts w:ascii="Arial" w:hAnsi="Arial" w:cs="Arial"/>
        </w:rPr>
        <w:t>1.  Evaluación y verificación al plan de mejoramiento Institucional- CGR.</w:t>
      </w:r>
    </w:p>
    <w:p w:rsidR="0058407F" w:rsidRPr="0058407F" w:rsidRDefault="0058407F" w:rsidP="0011016B">
      <w:pPr>
        <w:tabs>
          <w:tab w:val="left" w:pos="9390"/>
        </w:tabs>
        <w:ind w:left="708"/>
        <w:jc w:val="both"/>
        <w:rPr>
          <w:rFonts w:ascii="Arial" w:hAnsi="Arial" w:cs="Arial"/>
        </w:rPr>
      </w:pPr>
      <w:r w:rsidRPr="0058407F">
        <w:rPr>
          <w:rFonts w:ascii="Arial" w:hAnsi="Arial" w:cs="Arial"/>
        </w:rPr>
        <w:t>2. Evaluación y verificación al cumplimiento de la Ley de Transparencia y Accedo a la Información Pública.</w:t>
      </w:r>
    </w:p>
    <w:p w:rsidR="0058407F" w:rsidRDefault="0058407F" w:rsidP="0011016B">
      <w:pPr>
        <w:tabs>
          <w:tab w:val="left" w:pos="9390"/>
        </w:tabs>
        <w:ind w:left="708"/>
        <w:jc w:val="both"/>
        <w:rPr>
          <w:rFonts w:ascii="Arial" w:hAnsi="Arial" w:cs="Arial"/>
        </w:rPr>
      </w:pPr>
      <w:r w:rsidRPr="0058407F">
        <w:rPr>
          <w:rFonts w:ascii="Arial" w:hAnsi="Arial" w:cs="Arial"/>
        </w:rPr>
        <w:t>3. Evaluación y verificación al cumplimiento de los criterios asociados al trámite de repatriación.</w:t>
      </w:r>
    </w:p>
    <w:p w:rsidR="0011016B" w:rsidRDefault="0011016B" w:rsidP="0011016B">
      <w:pPr>
        <w:tabs>
          <w:tab w:val="left" w:pos="9390"/>
        </w:tabs>
        <w:ind w:left="708"/>
        <w:jc w:val="both"/>
        <w:rPr>
          <w:rFonts w:ascii="Arial" w:hAnsi="Arial" w:cs="Arial"/>
        </w:rPr>
      </w:pPr>
      <w:bookmarkStart w:id="0" w:name="_GoBack"/>
      <w:bookmarkEnd w:id="0"/>
    </w:p>
    <w:p w:rsidR="005B7CA9" w:rsidRDefault="005B7CA9" w:rsidP="005B7CA9">
      <w:pPr>
        <w:tabs>
          <w:tab w:val="left" w:pos="9390"/>
        </w:tabs>
        <w:jc w:val="both"/>
        <w:rPr>
          <w:rFonts w:ascii="Arial" w:hAnsi="Arial" w:cs="Arial"/>
        </w:rPr>
      </w:pPr>
      <w:r w:rsidRPr="005B7CA9">
        <w:rPr>
          <w:rFonts w:ascii="Arial" w:hAnsi="Arial" w:cs="Arial"/>
        </w:rPr>
        <w:t>Para el reporte del primer semestre del indicador, la OCI tuvo en cuenta la matriz consolidad para emitir el informe de seguimiento al plan de mejoramiento por procesos, la cual arroja un total de 36 acciones de mejoramiento cumplidas (efectivas) de 66 acciones que se encontraban pendiente de su revisión de efectividad.</w:t>
      </w:r>
    </w:p>
    <w:p w:rsidR="005B7CA9" w:rsidRDefault="005B7CA9" w:rsidP="005B7CA9">
      <w:pPr>
        <w:tabs>
          <w:tab w:val="left" w:pos="9390"/>
        </w:tabs>
        <w:jc w:val="both"/>
        <w:rPr>
          <w:rFonts w:ascii="Arial" w:hAnsi="Arial" w:cs="Arial"/>
        </w:rPr>
      </w:pPr>
    </w:p>
    <w:p w:rsidR="00210256" w:rsidRPr="00AC6204" w:rsidRDefault="00AC6204" w:rsidP="0058407F">
      <w:pPr>
        <w:jc w:val="center"/>
        <w:rPr>
          <w:rFonts w:ascii="Arial" w:hAnsi="Arial" w:cs="Arial"/>
          <w:b/>
          <w:color w:val="000000" w:themeColor="text1"/>
          <w:sz w:val="32"/>
          <w:szCs w:val="32"/>
        </w:rPr>
      </w:pPr>
      <w:r w:rsidRPr="00AC6204">
        <w:rPr>
          <w:rFonts w:ascii="Arial" w:hAnsi="Arial" w:cs="Arial"/>
          <w:b/>
          <w:color w:val="000000" w:themeColor="text1"/>
          <w:sz w:val="32"/>
          <w:szCs w:val="32"/>
        </w:rPr>
        <w:t>Conclusiones</w:t>
      </w:r>
      <w:r>
        <w:rPr>
          <w:rFonts w:ascii="Arial" w:hAnsi="Arial" w:cs="Arial"/>
          <w:b/>
          <w:color w:val="000000" w:themeColor="text1"/>
          <w:sz w:val="32"/>
          <w:szCs w:val="32"/>
        </w:rPr>
        <w:t>.</w:t>
      </w:r>
    </w:p>
    <w:p w:rsidR="00AC6204" w:rsidRDefault="00AC6204" w:rsidP="00AC6204">
      <w:pPr>
        <w:jc w:val="both"/>
        <w:rPr>
          <w:rFonts w:ascii="Arial" w:hAnsi="Arial" w:cs="Arial"/>
        </w:rPr>
      </w:pPr>
      <w:r w:rsidRPr="00AC6204">
        <w:rPr>
          <w:rFonts w:ascii="Arial" w:hAnsi="Arial" w:cs="Arial"/>
        </w:rPr>
        <w:t xml:space="preserve">Se puede observar en general un comportamiento </w:t>
      </w:r>
      <w:r>
        <w:rPr>
          <w:rFonts w:ascii="Arial" w:hAnsi="Arial" w:cs="Arial"/>
        </w:rPr>
        <w:t>excelente en el desempeño de cada uno de los procesos</w:t>
      </w:r>
      <w:r w:rsidR="0058407F">
        <w:rPr>
          <w:rFonts w:ascii="Arial" w:hAnsi="Arial" w:cs="Arial"/>
        </w:rPr>
        <w:t xml:space="preserve"> con una medición superior al 95</w:t>
      </w:r>
      <w:r>
        <w:rPr>
          <w:rFonts w:ascii="Arial" w:hAnsi="Arial" w:cs="Arial"/>
        </w:rPr>
        <w:t>%.</w:t>
      </w:r>
    </w:p>
    <w:p w:rsidR="00AC6204" w:rsidRDefault="00AC6204" w:rsidP="00AC6204">
      <w:pPr>
        <w:jc w:val="both"/>
        <w:rPr>
          <w:rFonts w:ascii="Arial" w:hAnsi="Arial" w:cs="Arial"/>
        </w:rPr>
      </w:pPr>
      <w:r>
        <w:rPr>
          <w:rFonts w:ascii="Arial" w:hAnsi="Arial" w:cs="Arial"/>
        </w:rPr>
        <w:t>Se debe continuar con el mejoramiento continuo de cada uno de los procesos para optimizar aquellas mediciones que afectaron los resultados obtenidos.</w:t>
      </w:r>
    </w:p>
    <w:p w:rsidR="00AC6204" w:rsidRPr="00AC6204" w:rsidRDefault="00AC6204" w:rsidP="00AC6204">
      <w:pPr>
        <w:jc w:val="both"/>
        <w:rPr>
          <w:rFonts w:ascii="Arial" w:hAnsi="Arial" w:cs="Arial"/>
        </w:rPr>
      </w:pPr>
      <w:r>
        <w:rPr>
          <w:rFonts w:ascii="Arial" w:hAnsi="Arial" w:cs="Arial"/>
        </w:rPr>
        <w:t>Es necesario profundizar y ser más descriptivos en el análisis de resultado de cada uno de los indicadores asociado a los procesos.</w:t>
      </w:r>
    </w:p>
    <w:sectPr w:rsidR="00AC6204" w:rsidRPr="00AC6204" w:rsidSect="009767C4">
      <w:footerReference w:type="default" r:id="rId3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7F" w:rsidRDefault="0058407F" w:rsidP="000642F7">
      <w:pPr>
        <w:spacing w:after="0" w:line="240" w:lineRule="auto"/>
      </w:pPr>
      <w:r>
        <w:separator/>
      </w:r>
    </w:p>
  </w:endnote>
  <w:endnote w:type="continuationSeparator" w:id="0">
    <w:p w:rsidR="0058407F" w:rsidRDefault="0058407F" w:rsidP="0006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7F" w:rsidRDefault="0058407F">
    <w:pPr>
      <w:pStyle w:val="Piedepgina"/>
    </w:pPr>
  </w:p>
  <w:p w:rsidR="0058407F" w:rsidRDefault="005840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7F" w:rsidRDefault="0058407F" w:rsidP="000642F7">
      <w:pPr>
        <w:spacing w:after="0" w:line="240" w:lineRule="auto"/>
      </w:pPr>
      <w:r>
        <w:separator/>
      </w:r>
    </w:p>
  </w:footnote>
  <w:footnote w:type="continuationSeparator" w:id="0">
    <w:p w:rsidR="0058407F" w:rsidRDefault="0058407F" w:rsidP="00064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A81"/>
    <w:multiLevelType w:val="hybridMultilevel"/>
    <w:tmpl w:val="5AC845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A23EE"/>
    <w:multiLevelType w:val="hybridMultilevel"/>
    <w:tmpl w:val="1FD80F62"/>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973150"/>
    <w:multiLevelType w:val="hybridMultilevel"/>
    <w:tmpl w:val="8988AC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4A1A93"/>
    <w:multiLevelType w:val="hybridMultilevel"/>
    <w:tmpl w:val="79F8AFF2"/>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50BDF"/>
    <w:multiLevelType w:val="hybridMultilevel"/>
    <w:tmpl w:val="21F2B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331CE"/>
    <w:multiLevelType w:val="hybridMultilevel"/>
    <w:tmpl w:val="AC0CEE56"/>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1E5EAF"/>
    <w:multiLevelType w:val="hybridMultilevel"/>
    <w:tmpl w:val="C49AC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2D7322"/>
    <w:multiLevelType w:val="hybridMultilevel"/>
    <w:tmpl w:val="66703CE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6A01141"/>
    <w:multiLevelType w:val="hybridMultilevel"/>
    <w:tmpl w:val="6AFCD0CE"/>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7D6761A"/>
    <w:multiLevelType w:val="hybridMultilevel"/>
    <w:tmpl w:val="04581DF8"/>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1E4029"/>
    <w:multiLevelType w:val="hybridMultilevel"/>
    <w:tmpl w:val="3E64E69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DDE52F5"/>
    <w:multiLevelType w:val="hybridMultilevel"/>
    <w:tmpl w:val="AA1216B6"/>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3464BDA"/>
    <w:multiLevelType w:val="hybridMultilevel"/>
    <w:tmpl w:val="95B495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83A3BDC"/>
    <w:multiLevelType w:val="hybridMultilevel"/>
    <w:tmpl w:val="411EA764"/>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5E7194"/>
    <w:multiLevelType w:val="hybridMultilevel"/>
    <w:tmpl w:val="02F6D9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CC6717"/>
    <w:multiLevelType w:val="hybridMultilevel"/>
    <w:tmpl w:val="6D70F2B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DB80766"/>
    <w:multiLevelType w:val="hybridMultilevel"/>
    <w:tmpl w:val="051084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0260FD"/>
    <w:multiLevelType w:val="hybridMultilevel"/>
    <w:tmpl w:val="334EB5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4AD52EE"/>
    <w:multiLevelType w:val="hybridMultilevel"/>
    <w:tmpl w:val="5C9E89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9341E10"/>
    <w:multiLevelType w:val="hybridMultilevel"/>
    <w:tmpl w:val="2C448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C843B9"/>
    <w:multiLevelType w:val="hybridMultilevel"/>
    <w:tmpl w:val="B25E300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506F0AF0"/>
    <w:multiLevelType w:val="hybridMultilevel"/>
    <w:tmpl w:val="94C25D8C"/>
    <w:lvl w:ilvl="0" w:tplc="240A0001">
      <w:start w:val="1"/>
      <w:numFmt w:val="bullet"/>
      <w:lvlText w:val=""/>
      <w:lvlJc w:val="left"/>
      <w:pPr>
        <w:ind w:left="1776" w:hanging="360"/>
      </w:pPr>
      <w:rPr>
        <w:rFonts w:ascii="Symbol" w:hAnsi="Symbol"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2" w15:restartNumberingAfterBreak="0">
    <w:nsid w:val="50B443B5"/>
    <w:multiLevelType w:val="hybridMultilevel"/>
    <w:tmpl w:val="87126764"/>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658B5"/>
    <w:multiLevelType w:val="hybridMultilevel"/>
    <w:tmpl w:val="E6F6F5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D029AA"/>
    <w:multiLevelType w:val="hybridMultilevel"/>
    <w:tmpl w:val="212010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73C6548"/>
    <w:multiLevelType w:val="hybridMultilevel"/>
    <w:tmpl w:val="AE86FA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D47B3F"/>
    <w:multiLevelType w:val="hybridMultilevel"/>
    <w:tmpl w:val="C97C156A"/>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3867AC"/>
    <w:multiLevelType w:val="hybridMultilevel"/>
    <w:tmpl w:val="144E5C7C"/>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7C191A"/>
    <w:multiLevelType w:val="hybridMultilevel"/>
    <w:tmpl w:val="3AEAA1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6E3A14"/>
    <w:multiLevelType w:val="hybridMultilevel"/>
    <w:tmpl w:val="03726C50"/>
    <w:lvl w:ilvl="0" w:tplc="9C560A4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B700148"/>
    <w:multiLevelType w:val="hybridMultilevel"/>
    <w:tmpl w:val="AA3671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E43749"/>
    <w:multiLevelType w:val="hybridMultilevel"/>
    <w:tmpl w:val="3DD0DDE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6FD93795"/>
    <w:multiLevelType w:val="hybridMultilevel"/>
    <w:tmpl w:val="3246375A"/>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71CD1473"/>
    <w:multiLevelType w:val="hybridMultilevel"/>
    <w:tmpl w:val="86BAF446"/>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6561438"/>
    <w:multiLevelType w:val="hybridMultilevel"/>
    <w:tmpl w:val="AE462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707DA0"/>
    <w:multiLevelType w:val="hybridMultilevel"/>
    <w:tmpl w:val="7938BA96"/>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5"/>
  </w:num>
  <w:num w:numId="4">
    <w:abstractNumId w:val="0"/>
  </w:num>
  <w:num w:numId="5">
    <w:abstractNumId w:val="18"/>
  </w:num>
  <w:num w:numId="6">
    <w:abstractNumId w:val="30"/>
  </w:num>
  <w:num w:numId="7">
    <w:abstractNumId w:val="17"/>
  </w:num>
  <w:num w:numId="8">
    <w:abstractNumId w:val="31"/>
  </w:num>
  <w:num w:numId="9">
    <w:abstractNumId w:val="10"/>
  </w:num>
  <w:num w:numId="10">
    <w:abstractNumId w:val="21"/>
  </w:num>
  <w:num w:numId="11">
    <w:abstractNumId w:val="14"/>
  </w:num>
  <w:num w:numId="12">
    <w:abstractNumId w:val="25"/>
  </w:num>
  <w:num w:numId="13">
    <w:abstractNumId w:val="24"/>
  </w:num>
  <w:num w:numId="14">
    <w:abstractNumId w:val="29"/>
  </w:num>
  <w:num w:numId="15">
    <w:abstractNumId w:val="16"/>
  </w:num>
  <w:num w:numId="16">
    <w:abstractNumId w:val="8"/>
  </w:num>
  <w:num w:numId="17">
    <w:abstractNumId w:val="32"/>
  </w:num>
  <w:num w:numId="18">
    <w:abstractNumId w:val="33"/>
  </w:num>
  <w:num w:numId="19">
    <w:abstractNumId w:val="35"/>
  </w:num>
  <w:num w:numId="20">
    <w:abstractNumId w:val="3"/>
  </w:num>
  <w:num w:numId="21">
    <w:abstractNumId w:val="9"/>
  </w:num>
  <w:num w:numId="22">
    <w:abstractNumId w:val="27"/>
  </w:num>
  <w:num w:numId="23">
    <w:abstractNumId w:val="26"/>
  </w:num>
  <w:num w:numId="24">
    <w:abstractNumId w:val="1"/>
  </w:num>
  <w:num w:numId="25">
    <w:abstractNumId w:val="13"/>
  </w:num>
  <w:num w:numId="26">
    <w:abstractNumId w:val="22"/>
  </w:num>
  <w:num w:numId="27">
    <w:abstractNumId w:val="11"/>
  </w:num>
  <w:num w:numId="28">
    <w:abstractNumId w:val="20"/>
  </w:num>
  <w:num w:numId="29">
    <w:abstractNumId w:val="4"/>
  </w:num>
  <w:num w:numId="30">
    <w:abstractNumId w:val="19"/>
  </w:num>
  <w:num w:numId="31">
    <w:abstractNumId w:val="6"/>
  </w:num>
  <w:num w:numId="32">
    <w:abstractNumId w:val="34"/>
  </w:num>
  <w:num w:numId="33">
    <w:abstractNumId w:val="7"/>
  </w:num>
  <w:num w:numId="34">
    <w:abstractNumId w:val="5"/>
  </w:num>
  <w:num w:numId="35">
    <w:abstractNumId w:val="2"/>
  </w:num>
  <w:num w:numId="3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D6"/>
    <w:rsid w:val="00006997"/>
    <w:rsid w:val="00045253"/>
    <w:rsid w:val="000642F7"/>
    <w:rsid w:val="00070450"/>
    <w:rsid w:val="00087AC3"/>
    <w:rsid w:val="000936F4"/>
    <w:rsid w:val="000B063F"/>
    <w:rsid w:val="000F7D28"/>
    <w:rsid w:val="0011016B"/>
    <w:rsid w:val="00143FF2"/>
    <w:rsid w:val="00162F4B"/>
    <w:rsid w:val="00174656"/>
    <w:rsid w:val="00191950"/>
    <w:rsid w:val="00192895"/>
    <w:rsid w:val="001B1670"/>
    <w:rsid w:val="001B4DA8"/>
    <w:rsid w:val="001D1397"/>
    <w:rsid w:val="001E7B9C"/>
    <w:rsid w:val="00207EAD"/>
    <w:rsid w:val="00210256"/>
    <w:rsid w:val="002940A8"/>
    <w:rsid w:val="002B3CA5"/>
    <w:rsid w:val="003356DA"/>
    <w:rsid w:val="0035531F"/>
    <w:rsid w:val="00381DA7"/>
    <w:rsid w:val="003A63E9"/>
    <w:rsid w:val="003D7C4E"/>
    <w:rsid w:val="003E3F16"/>
    <w:rsid w:val="00403777"/>
    <w:rsid w:val="0042321F"/>
    <w:rsid w:val="00447025"/>
    <w:rsid w:val="004573E3"/>
    <w:rsid w:val="004741BE"/>
    <w:rsid w:val="00497A20"/>
    <w:rsid w:val="004D522E"/>
    <w:rsid w:val="00511111"/>
    <w:rsid w:val="0056191E"/>
    <w:rsid w:val="0058407F"/>
    <w:rsid w:val="005B7CA9"/>
    <w:rsid w:val="005F60B5"/>
    <w:rsid w:val="00601326"/>
    <w:rsid w:val="00626DD6"/>
    <w:rsid w:val="0063770C"/>
    <w:rsid w:val="006725C9"/>
    <w:rsid w:val="006954C9"/>
    <w:rsid w:val="006C776C"/>
    <w:rsid w:val="006E5DA7"/>
    <w:rsid w:val="006F04EB"/>
    <w:rsid w:val="0070244D"/>
    <w:rsid w:val="00760E86"/>
    <w:rsid w:val="007F6DB0"/>
    <w:rsid w:val="00800542"/>
    <w:rsid w:val="0082464B"/>
    <w:rsid w:val="00860532"/>
    <w:rsid w:val="00863EC3"/>
    <w:rsid w:val="00877B11"/>
    <w:rsid w:val="008872F2"/>
    <w:rsid w:val="008C44C5"/>
    <w:rsid w:val="008E2108"/>
    <w:rsid w:val="00903D11"/>
    <w:rsid w:val="00930D7D"/>
    <w:rsid w:val="009767C4"/>
    <w:rsid w:val="009C1DAF"/>
    <w:rsid w:val="009C4ABD"/>
    <w:rsid w:val="009E37F2"/>
    <w:rsid w:val="009F773A"/>
    <w:rsid w:val="00A27084"/>
    <w:rsid w:val="00A40726"/>
    <w:rsid w:val="00AB2714"/>
    <w:rsid w:val="00AB61E0"/>
    <w:rsid w:val="00AC252A"/>
    <w:rsid w:val="00AC6204"/>
    <w:rsid w:val="00B1357F"/>
    <w:rsid w:val="00B2790D"/>
    <w:rsid w:val="00B629F2"/>
    <w:rsid w:val="00BC0C1F"/>
    <w:rsid w:val="00C11A59"/>
    <w:rsid w:val="00C4794E"/>
    <w:rsid w:val="00CA4DA7"/>
    <w:rsid w:val="00CF2661"/>
    <w:rsid w:val="00D14F0F"/>
    <w:rsid w:val="00D506D6"/>
    <w:rsid w:val="00DB7B09"/>
    <w:rsid w:val="00E36710"/>
    <w:rsid w:val="00E53F15"/>
    <w:rsid w:val="00E66D8C"/>
    <w:rsid w:val="00E81E5A"/>
    <w:rsid w:val="00EB4788"/>
    <w:rsid w:val="00F10654"/>
    <w:rsid w:val="00F17469"/>
    <w:rsid w:val="00F255A1"/>
    <w:rsid w:val="00F3136C"/>
    <w:rsid w:val="00F46B7D"/>
    <w:rsid w:val="00F63ACC"/>
    <w:rsid w:val="00F6469B"/>
    <w:rsid w:val="00F7797E"/>
    <w:rsid w:val="00F9325E"/>
    <w:rsid w:val="00F967DE"/>
    <w:rsid w:val="00FC4999"/>
    <w:rsid w:val="00FD05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85C8-AE3F-4A2C-86FB-5C729822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9F2"/>
    <w:pPr>
      <w:ind w:left="720"/>
      <w:contextualSpacing/>
    </w:pPr>
  </w:style>
  <w:style w:type="character" w:styleId="Textoennegrita">
    <w:name w:val="Strong"/>
    <w:basedOn w:val="Fuentedeprrafopredeter"/>
    <w:uiPriority w:val="22"/>
    <w:qFormat/>
    <w:rsid w:val="00447025"/>
    <w:rPr>
      <w:b/>
      <w:bCs/>
    </w:rPr>
  </w:style>
  <w:style w:type="paragraph" w:styleId="Encabezado">
    <w:name w:val="header"/>
    <w:basedOn w:val="Normal"/>
    <w:link w:val="EncabezadoCar"/>
    <w:uiPriority w:val="99"/>
    <w:unhideWhenUsed/>
    <w:rsid w:val="000642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42F7"/>
  </w:style>
  <w:style w:type="paragraph" w:styleId="Piedepgina">
    <w:name w:val="footer"/>
    <w:basedOn w:val="Normal"/>
    <w:link w:val="PiedepginaCar"/>
    <w:uiPriority w:val="99"/>
    <w:unhideWhenUsed/>
    <w:rsid w:val="000642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42F7"/>
  </w:style>
  <w:style w:type="character" w:styleId="Hipervnculo">
    <w:name w:val="Hyperlink"/>
    <w:basedOn w:val="Fuentedeprrafopredeter"/>
    <w:uiPriority w:val="99"/>
    <w:unhideWhenUsed/>
    <w:rsid w:val="00863E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001">
      <w:bodyDiv w:val="1"/>
      <w:marLeft w:val="0"/>
      <w:marRight w:val="0"/>
      <w:marTop w:val="0"/>
      <w:marBottom w:val="0"/>
      <w:divBdr>
        <w:top w:val="none" w:sz="0" w:space="0" w:color="auto"/>
        <w:left w:val="none" w:sz="0" w:space="0" w:color="auto"/>
        <w:bottom w:val="none" w:sz="0" w:space="0" w:color="auto"/>
        <w:right w:val="none" w:sz="0" w:space="0" w:color="auto"/>
      </w:divBdr>
    </w:div>
    <w:div w:id="172570894">
      <w:bodyDiv w:val="1"/>
      <w:marLeft w:val="0"/>
      <w:marRight w:val="0"/>
      <w:marTop w:val="0"/>
      <w:marBottom w:val="0"/>
      <w:divBdr>
        <w:top w:val="none" w:sz="0" w:space="0" w:color="auto"/>
        <w:left w:val="none" w:sz="0" w:space="0" w:color="auto"/>
        <w:bottom w:val="none" w:sz="0" w:space="0" w:color="auto"/>
        <w:right w:val="none" w:sz="0" w:space="0" w:color="auto"/>
      </w:divBdr>
    </w:div>
    <w:div w:id="314921534">
      <w:bodyDiv w:val="1"/>
      <w:marLeft w:val="0"/>
      <w:marRight w:val="0"/>
      <w:marTop w:val="0"/>
      <w:marBottom w:val="0"/>
      <w:divBdr>
        <w:top w:val="none" w:sz="0" w:space="0" w:color="auto"/>
        <w:left w:val="none" w:sz="0" w:space="0" w:color="auto"/>
        <w:bottom w:val="none" w:sz="0" w:space="0" w:color="auto"/>
        <w:right w:val="none" w:sz="0" w:space="0" w:color="auto"/>
      </w:divBdr>
    </w:div>
    <w:div w:id="330527670">
      <w:bodyDiv w:val="1"/>
      <w:marLeft w:val="0"/>
      <w:marRight w:val="0"/>
      <w:marTop w:val="0"/>
      <w:marBottom w:val="0"/>
      <w:divBdr>
        <w:top w:val="none" w:sz="0" w:space="0" w:color="auto"/>
        <w:left w:val="none" w:sz="0" w:space="0" w:color="auto"/>
        <w:bottom w:val="none" w:sz="0" w:space="0" w:color="auto"/>
        <w:right w:val="none" w:sz="0" w:space="0" w:color="auto"/>
      </w:divBdr>
    </w:div>
    <w:div w:id="359279316">
      <w:bodyDiv w:val="1"/>
      <w:marLeft w:val="0"/>
      <w:marRight w:val="0"/>
      <w:marTop w:val="0"/>
      <w:marBottom w:val="0"/>
      <w:divBdr>
        <w:top w:val="none" w:sz="0" w:space="0" w:color="auto"/>
        <w:left w:val="none" w:sz="0" w:space="0" w:color="auto"/>
        <w:bottom w:val="none" w:sz="0" w:space="0" w:color="auto"/>
        <w:right w:val="none" w:sz="0" w:space="0" w:color="auto"/>
      </w:divBdr>
    </w:div>
    <w:div w:id="496919306">
      <w:bodyDiv w:val="1"/>
      <w:marLeft w:val="0"/>
      <w:marRight w:val="0"/>
      <w:marTop w:val="0"/>
      <w:marBottom w:val="0"/>
      <w:divBdr>
        <w:top w:val="none" w:sz="0" w:space="0" w:color="auto"/>
        <w:left w:val="none" w:sz="0" w:space="0" w:color="auto"/>
        <w:bottom w:val="none" w:sz="0" w:space="0" w:color="auto"/>
        <w:right w:val="none" w:sz="0" w:space="0" w:color="auto"/>
      </w:divBdr>
    </w:div>
    <w:div w:id="529955757">
      <w:bodyDiv w:val="1"/>
      <w:marLeft w:val="0"/>
      <w:marRight w:val="0"/>
      <w:marTop w:val="0"/>
      <w:marBottom w:val="0"/>
      <w:divBdr>
        <w:top w:val="none" w:sz="0" w:space="0" w:color="auto"/>
        <w:left w:val="none" w:sz="0" w:space="0" w:color="auto"/>
        <w:bottom w:val="none" w:sz="0" w:space="0" w:color="auto"/>
        <w:right w:val="none" w:sz="0" w:space="0" w:color="auto"/>
      </w:divBdr>
    </w:div>
    <w:div w:id="545142070">
      <w:bodyDiv w:val="1"/>
      <w:marLeft w:val="0"/>
      <w:marRight w:val="0"/>
      <w:marTop w:val="0"/>
      <w:marBottom w:val="0"/>
      <w:divBdr>
        <w:top w:val="none" w:sz="0" w:space="0" w:color="auto"/>
        <w:left w:val="none" w:sz="0" w:space="0" w:color="auto"/>
        <w:bottom w:val="none" w:sz="0" w:space="0" w:color="auto"/>
        <w:right w:val="none" w:sz="0" w:space="0" w:color="auto"/>
      </w:divBdr>
    </w:div>
    <w:div w:id="557672631">
      <w:bodyDiv w:val="1"/>
      <w:marLeft w:val="0"/>
      <w:marRight w:val="0"/>
      <w:marTop w:val="0"/>
      <w:marBottom w:val="0"/>
      <w:divBdr>
        <w:top w:val="none" w:sz="0" w:space="0" w:color="auto"/>
        <w:left w:val="none" w:sz="0" w:space="0" w:color="auto"/>
        <w:bottom w:val="none" w:sz="0" w:space="0" w:color="auto"/>
        <w:right w:val="none" w:sz="0" w:space="0" w:color="auto"/>
      </w:divBdr>
    </w:div>
    <w:div w:id="659037420">
      <w:bodyDiv w:val="1"/>
      <w:marLeft w:val="0"/>
      <w:marRight w:val="0"/>
      <w:marTop w:val="0"/>
      <w:marBottom w:val="0"/>
      <w:divBdr>
        <w:top w:val="none" w:sz="0" w:space="0" w:color="auto"/>
        <w:left w:val="none" w:sz="0" w:space="0" w:color="auto"/>
        <w:bottom w:val="none" w:sz="0" w:space="0" w:color="auto"/>
        <w:right w:val="none" w:sz="0" w:space="0" w:color="auto"/>
      </w:divBdr>
    </w:div>
    <w:div w:id="679550366">
      <w:bodyDiv w:val="1"/>
      <w:marLeft w:val="0"/>
      <w:marRight w:val="0"/>
      <w:marTop w:val="0"/>
      <w:marBottom w:val="0"/>
      <w:divBdr>
        <w:top w:val="none" w:sz="0" w:space="0" w:color="auto"/>
        <w:left w:val="none" w:sz="0" w:space="0" w:color="auto"/>
        <w:bottom w:val="none" w:sz="0" w:space="0" w:color="auto"/>
        <w:right w:val="none" w:sz="0" w:space="0" w:color="auto"/>
      </w:divBdr>
    </w:div>
    <w:div w:id="763691857">
      <w:bodyDiv w:val="1"/>
      <w:marLeft w:val="0"/>
      <w:marRight w:val="0"/>
      <w:marTop w:val="0"/>
      <w:marBottom w:val="0"/>
      <w:divBdr>
        <w:top w:val="none" w:sz="0" w:space="0" w:color="auto"/>
        <w:left w:val="none" w:sz="0" w:space="0" w:color="auto"/>
        <w:bottom w:val="none" w:sz="0" w:space="0" w:color="auto"/>
        <w:right w:val="none" w:sz="0" w:space="0" w:color="auto"/>
      </w:divBdr>
    </w:div>
    <w:div w:id="919489946">
      <w:bodyDiv w:val="1"/>
      <w:marLeft w:val="0"/>
      <w:marRight w:val="0"/>
      <w:marTop w:val="0"/>
      <w:marBottom w:val="0"/>
      <w:divBdr>
        <w:top w:val="none" w:sz="0" w:space="0" w:color="auto"/>
        <w:left w:val="none" w:sz="0" w:space="0" w:color="auto"/>
        <w:bottom w:val="none" w:sz="0" w:space="0" w:color="auto"/>
        <w:right w:val="none" w:sz="0" w:space="0" w:color="auto"/>
      </w:divBdr>
    </w:div>
    <w:div w:id="941451894">
      <w:bodyDiv w:val="1"/>
      <w:marLeft w:val="0"/>
      <w:marRight w:val="0"/>
      <w:marTop w:val="0"/>
      <w:marBottom w:val="0"/>
      <w:divBdr>
        <w:top w:val="none" w:sz="0" w:space="0" w:color="auto"/>
        <w:left w:val="none" w:sz="0" w:space="0" w:color="auto"/>
        <w:bottom w:val="none" w:sz="0" w:space="0" w:color="auto"/>
        <w:right w:val="none" w:sz="0" w:space="0" w:color="auto"/>
      </w:divBdr>
    </w:div>
    <w:div w:id="983972281">
      <w:bodyDiv w:val="1"/>
      <w:marLeft w:val="0"/>
      <w:marRight w:val="0"/>
      <w:marTop w:val="0"/>
      <w:marBottom w:val="0"/>
      <w:divBdr>
        <w:top w:val="none" w:sz="0" w:space="0" w:color="auto"/>
        <w:left w:val="none" w:sz="0" w:space="0" w:color="auto"/>
        <w:bottom w:val="none" w:sz="0" w:space="0" w:color="auto"/>
        <w:right w:val="none" w:sz="0" w:space="0" w:color="auto"/>
      </w:divBdr>
    </w:div>
    <w:div w:id="1004893750">
      <w:bodyDiv w:val="1"/>
      <w:marLeft w:val="0"/>
      <w:marRight w:val="0"/>
      <w:marTop w:val="0"/>
      <w:marBottom w:val="0"/>
      <w:divBdr>
        <w:top w:val="none" w:sz="0" w:space="0" w:color="auto"/>
        <w:left w:val="none" w:sz="0" w:space="0" w:color="auto"/>
        <w:bottom w:val="none" w:sz="0" w:space="0" w:color="auto"/>
        <w:right w:val="none" w:sz="0" w:space="0" w:color="auto"/>
      </w:divBdr>
    </w:div>
    <w:div w:id="1018311016">
      <w:bodyDiv w:val="1"/>
      <w:marLeft w:val="0"/>
      <w:marRight w:val="0"/>
      <w:marTop w:val="0"/>
      <w:marBottom w:val="0"/>
      <w:divBdr>
        <w:top w:val="none" w:sz="0" w:space="0" w:color="auto"/>
        <w:left w:val="none" w:sz="0" w:space="0" w:color="auto"/>
        <w:bottom w:val="none" w:sz="0" w:space="0" w:color="auto"/>
        <w:right w:val="none" w:sz="0" w:space="0" w:color="auto"/>
      </w:divBdr>
    </w:div>
    <w:div w:id="1259559630">
      <w:bodyDiv w:val="1"/>
      <w:marLeft w:val="0"/>
      <w:marRight w:val="0"/>
      <w:marTop w:val="0"/>
      <w:marBottom w:val="0"/>
      <w:divBdr>
        <w:top w:val="none" w:sz="0" w:space="0" w:color="auto"/>
        <w:left w:val="none" w:sz="0" w:space="0" w:color="auto"/>
        <w:bottom w:val="none" w:sz="0" w:space="0" w:color="auto"/>
        <w:right w:val="none" w:sz="0" w:space="0" w:color="auto"/>
      </w:divBdr>
    </w:div>
    <w:div w:id="1358383726">
      <w:bodyDiv w:val="1"/>
      <w:marLeft w:val="0"/>
      <w:marRight w:val="0"/>
      <w:marTop w:val="0"/>
      <w:marBottom w:val="0"/>
      <w:divBdr>
        <w:top w:val="none" w:sz="0" w:space="0" w:color="auto"/>
        <w:left w:val="none" w:sz="0" w:space="0" w:color="auto"/>
        <w:bottom w:val="none" w:sz="0" w:space="0" w:color="auto"/>
        <w:right w:val="none" w:sz="0" w:space="0" w:color="auto"/>
      </w:divBdr>
    </w:div>
    <w:div w:id="1382948825">
      <w:bodyDiv w:val="1"/>
      <w:marLeft w:val="0"/>
      <w:marRight w:val="0"/>
      <w:marTop w:val="0"/>
      <w:marBottom w:val="0"/>
      <w:divBdr>
        <w:top w:val="none" w:sz="0" w:space="0" w:color="auto"/>
        <w:left w:val="none" w:sz="0" w:space="0" w:color="auto"/>
        <w:bottom w:val="none" w:sz="0" w:space="0" w:color="auto"/>
        <w:right w:val="none" w:sz="0" w:space="0" w:color="auto"/>
      </w:divBdr>
    </w:div>
    <w:div w:id="1383482213">
      <w:bodyDiv w:val="1"/>
      <w:marLeft w:val="0"/>
      <w:marRight w:val="0"/>
      <w:marTop w:val="0"/>
      <w:marBottom w:val="0"/>
      <w:divBdr>
        <w:top w:val="none" w:sz="0" w:space="0" w:color="auto"/>
        <w:left w:val="none" w:sz="0" w:space="0" w:color="auto"/>
        <w:bottom w:val="none" w:sz="0" w:space="0" w:color="auto"/>
        <w:right w:val="none" w:sz="0" w:space="0" w:color="auto"/>
      </w:divBdr>
    </w:div>
    <w:div w:id="1415855808">
      <w:bodyDiv w:val="1"/>
      <w:marLeft w:val="0"/>
      <w:marRight w:val="0"/>
      <w:marTop w:val="0"/>
      <w:marBottom w:val="0"/>
      <w:divBdr>
        <w:top w:val="none" w:sz="0" w:space="0" w:color="auto"/>
        <w:left w:val="none" w:sz="0" w:space="0" w:color="auto"/>
        <w:bottom w:val="none" w:sz="0" w:space="0" w:color="auto"/>
        <w:right w:val="none" w:sz="0" w:space="0" w:color="auto"/>
      </w:divBdr>
    </w:div>
    <w:div w:id="1454014330">
      <w:bodyDiv w:val="1"/>
      <w:marLeft w:val="0"/>
      <w:marRight w:val="0"/>
      <w:marTop w:val="0"/>
      <w:marBottom w:val="0"/>
      <w:divBdr>
        <w:top w:val="none" w:sz="0" w:space="0" w:color="auto"/>
        <w:left w:val="none" w:sz="0" w:space="0" w:color="auto"/>
        <w:bottom w:val="none" w:sz="0" w:space="0" w:color="auto"/>
        <w:right w:val="none" w:sz="0" w:space="0" w:color="auto"/>
      </w:divBdr>
    </w:div>
    <w:div w:id="1633171413">
      <w:bodyDiv w:val="1"/>
      <w:marLeft w:val="0"/>
      <w:marRight w:val="0"/>
      <w:marTop w:val="0"/>
      <w:marBottom w:val="0"/>
      <w:divBdr>
        <w:top w:val="none" w:sz="0" w:space="0" w:color="auto"/>
        <w:left w:val="none" w:sz="0" w:space="0" w:color="auto"/>
        <w:bottom w:val="none" w:sz="0" w:space="0" w:color="auto"/>
        <w:right w:val="none" w:sz="0" w:space="0" w:color="auto"/>
      </w:divBdr>
    </w:div>
    <w:div w:id="1666318733">
      <w:bodyDiv w:val="1"/>
      <w:marLeft w:val="0"/>
      <w:marRight w:val="0"/>
      <w:marTop w:val="0"/>
      <w:marBottom w:val="0"/>
      <w:divBdr>
        <w:top w:val="none" w:sz="0" w:space="0" w:color="auto"/>
        <w:left w:val="none" w:sz="0" w:space="0" w:color="auto"/>
        <w:bottom w:val="none" w:sz="0" w:space="0" w:color="auto"/>
        <w:right w:val="none" w:sz="0" w:space="0" w:color="auto"/>
      </w:divBdr>
    </w:div>
    <w:div w:id="1683235995">
      <w:bodyDiv w:val="1"/>
      <w:marLeft w:val="0"/>
      <w:marRight w:val="0"/>
      <w:marTop w:val="0"/>
      <w:marBottom w:val="0"/>
      <w:divBdr>
        <w:top w:val="none" w:sz="0" w:space="0" w:color="auto"/>
        <w:left w:val="none" w:sz="0" w:space="0" w:color="auto"/>
        <w:bottom w:val="none" w:sz="0" w:space="0" w:color="auto"/>
        <w:right w:val="none" w:sz="0" w:space="0" w:color="auto"/>
      </w:divBdr>
    </w:div>
    <w:div w:id="1727529216">
      <w:bodyDiv w:val="1"/>
      <w:marLeft w:val="0"/>
      <w:marRight w:val="0"/>
      <w:marTop w:val="0"/>
      <w:marBottom w:val="0"/>
      <w:divBdr>
        <w:top w:val="none" w:sz="0" w:space="0" w:color="auto"/>
        <w:left w:val="none" w:sz="0" w:space="0" w:color="auto"/>
        <w:bottom w:val="none" w:sz="0" w:space="0" w:color="auto"/>
        <w:right w:val="none" w:sz="0" w:space="0" w:color="auto"/>
      </w:divBdr>
    </w:div>
    <w:div w:id="1744524103">
      <w:bodyDiv w:val="1"/>
      <w:marLeft w:val="0"/>
      <w:marRight w:val="0"/>
      <w:marTop w:val="0"/>
      <w:marBottom w:val="0"/>
      <w:divBdr>
        <w:top w:val="none" w:sz="0" w:space="0" w:color="auto"/>
        <w:left w:val="none" w:sz="0" w:space="0" w:color="auto"/>
        <w:bottom w:val="none" w:sz="0" w:space="0" w:color="auto"/>
        <w:right w:val="none" w:sz="0" w:space="0" w:color="auto"/>
      </w:divBdr>
    </w:div>
    <w:div w:id="1793208672">
      <w:bodyDiv w:val="1"/>
      <w:marLeft w:val="0"/>
      <w:marRight w:val="0"/>
      <w:marTop w:val="0"/>
      <w:marBottom w:val="0"/>
      <w:divBdr>
        <w:top w:val="none" w:sz="0" w:space="0" w:color="auto"/>
        <w:left w:val="none" w:sz="0" w:space="0" w:color="auto"/>
        <w:bottom w:val="none" w:sz="0" w:space="0" w:color="auto"/>
        <w:right w:val="none" w:sz="0" w:space="0" w:color="auto"/>
      </w:divBdr>
    </w:div>
    <w:div w:id="1908302202">
      <w:bodyDiv w:val="1"/>
      <w:marLeft w:val="0"/>
      <w:marRight w:val="0"/>
      <w:marTop w:val="0"/>
      <w:marBottom w:val="0"/>
      <w:divBdr>
        <w:top w:val="none" w:sz="0" w:space="0" w:color="auto"/>
        <w:left w:val="none" w:sz="0" w:space="0" w:color="auto"/>
        <w:bottom w:val="none" w:sz="0" w:space="0" w:color="auto"/>
        <w:right w:val="none" w:sz="0" w:space="0" w:color="auto"/>
      </w:divBdr>
    </w:div>
    <w:div w:id="1951890104">
      <w:bodyDiv w:val="1"/>
      <w:marLeft w:val="0"/>
      <w:marRight w:val="0"/>
      <w:marTop w:val="0"/>
      <w:marBottom w:val="0"/>
      <w:divBdr>
        <w:top w:val="none" w:sz="0" w:space="0" w:color="auto"/>
        <w:left w:val="none" w:sz="0" w:space="0" w:color="auto"/>
        <w:bottom w:val="none" w:sz="0" w:space="0" w:color="auto"/>
        <w:right w:val="none" w:sz="0" w:space="0" w:color="auto"/>
      </w:divBdr>
    </w:div>
    <w:div w:id="1957327845">
      <w:bodyDiv w:val="1"/>
      <w:marLeft w:val="0"/>
      <w:marRight w:val="0"/>
      <w:marTop w:val="0"/>
      <w:marBottom w:val="0"/>
      <w:divBdr>
        <w:top w:val="none" w:sz="0" w:space="0" w:color="auto"/>
        <w:left w:val="none" w:sz="0" w:space="0" w:color="auto"/>
        <w:bottom w:val="none" w:sz="0" w:space="0" w:color="auto"/>
        <w:right w:val="none" w:sz="0" w:space="0" w:color="auto"/>
      </w:divBdr>
    </w:div>
    <w:div w:id="2077629568">
      <w:bodyDiv w:val="1"/>
      <w:marLeft w:val="0"/>
      <w:marRight w:val="0"/>
      <w:marTop w:val="0"/>
      <w:marBottom w:val="0"/>
      <w:divBdr>
        <w:top w:val="none" w:sz="0" w:space="0" w:color="auto"/>
        <w:left w:val="none" w:sz="0" w:space="0" w:color="auto"/>
        <w:bottom w:val="none" w:sz="0" w:space="0" w:color="auto"/>
        <w:right w:val="none" w:sz="0" w:space="0" w:color="auto"/>
      </w:divBdr>
    </w:div>
    <w:div w:id="21258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dc.gov.co/POL%C3%8DTICA1"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20FBA7F62C14F041A0FB3EFC7596E368" ma:contentTypeVersion="1" ma:contentTypeDescription="Crear nuevo documento." ma:contentTypeScope="" ma:versionID="348b18b5fc41e64fad00b1cd561ffcbc">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0ca9f3ac2d15db8bb029348aee8f1b74"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2TV4CCKVFCYA-1167877901-452</_dlc_DocId>
    <_dlc_DocIdUrl xmlns="81cc8fc0-8d1e-4295-8f37-5d076116407c">
      <Url>https://www.minjusticia.gov.co/ministerio/_layouts/15/DocIdRedir.aspx?ID=2TV4CCKVFCYA-1167877901-452</Url>
      <Description>2TV4CCKVFCYA-1167877901-452</Description>
    </_dlc_DocIdUrl>
  </documentManagement>
</p:properties>
</file>

<file path=customXml/itemProps1.xml><?xml version="1.0" encoding="utf-8"?>
<ds:datastoreItem xmlns:ds="http://schemas.openxmlformats.org/officeDocument/2006/customXml" ds:itemID="{00E29FEF-5793-4B82-9D2A-D46480ADB5C5}"/>
</file>

<file path=customXml/itemProps2.xml><?xml version="1.0" encoding="utf-8"?>
<ds:datastoreItem xmlns:ds="http://schemas.openxmlformats.org/officeDocument/2006/customXml" ds:itemID="{0C3BE373-5ACB-4227-9459-D05AAA3D8C8C}"/>
</file>

<file path=customXml/itemProps3.xml><?xml version="1.0" encoding="utf-8"?>
<ds:datastoreItem xmlns:ds="http://schemas.openxmlformats.org/officeDocument/2006/customXml" ds:itemID="{2A21232D-E7C3-40A5-AF2E-E6CA9B044263}"/>
</file>

<file path=customXml/itemProps4.xml><?xml version="1.0" encoding="utf-8"?>
<ds:datastoreItem xmlns:ds="http://schemas.openxmlformats.org/officeDocument/2006/customXml" ds:itemID="{6C937DDE-F898-4BCB-B05D-BC4C5631BFA6}"/>
</file>

<file path=customXml/itemProps5.xml><?xml version="1.0" encoding="utf-8"?>
<ds:datastoreItem xmlns:ds="http://schemas.openxmlformats.org/officeDocument/2006/customXml" ds:itemID="{D1D97ADB-FF31-4656-952E-F2AA704D0EB6}"/>
</file>

<file path=docProps/app.xml><?xml version="1.0" encoding="utf-8"?>
<Properties xmlns="http://schemas.openxmlformats.org/officeDocument/2006/extended-properties" xmlns:vt="http://schemas.openxmlformats.org/officeDocument/2006/docPropsVTypes">
  <Template>Normal</Template>
  <TotalTime>44</TotalTime>
  <Pages>35</Pages>
  <Words>10844</Words>
  <Characters>59648</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MARGARITA OSORIO MASTRODOMÉNICO</dc:creator>
  <cp:keywords/>
  <dc:description/>
  <cp:lastModifiedBy>LUCY MARGARITA OSORIO MASTRODOMÉNICO</cp:lastModifiedBy>
  <cp:revision>4</cp:revision>
  <dcterms:created xsi:type="dcterms:W3CDTF">2020-04-14T21:05:00Z</dcterms:created>
  <dcterms:modified xsi:type="dcterms:W3CDTF">2020-04-14T21:58:00Z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0x01010020FBA7F62C14F041A0FB3EFC7596E368</vt:lpwstr>
  </property>
  <property fmtid="{D5CDD505-2E9C-101B-9397-08002B2CF9AE}" pid="3" name="_dlc_DocIdItemGuid">
    <vt:lpwstr>d8ce8f0c-ca67-4688-9918-08be0c62d7e6</vt:lpwstr>
  </property>
</Properties>
</file>